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733" w:rsidRDefault="002B775A">
      <w:pPr>
        <w:pStyle w:val="Titolo1"/>
        <w:spacing w:before="71"/>
        <w:ind w:left="0" w:right="2427" w:hanging="2"/>
        <w:jc w:val="center"/>
      </w:pPr>
      <w:r>
        <w:t xml:space="preserve">ISTITUTO </w:t>
      </w:r>
      <w:proofErr w:type="gramStart"/>
      <w:r>
        <w:t>SALESIANO ”</w:t>
      </w:r>
      <w:proofErr w:type="gramEnd"/>
      <w:r>
        <w:t xml:space="preserve"> SACRO CUORE “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427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IT AMMINISTRAZIONE FINANZA E MARKETING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0" w:right="1745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ANNO SCOLASTICO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Style w:val="Titolo1"/>
        <w:ind w:left="0" w:right="1740" w:hanging="2"/>
        <w:jc w:val="center"/>
      </w:pPr>
      <w:bookmarkStart w:id="0" w:name="_heading=h.gjdgxs" w:colFirst="0" w:colLast="0"/>
      <w:bookmarkEnd w:id="0"/>
      <w:r>
        <w:t>2023-2024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ind w:left="0" w:right="17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PROGRAMMAZIONE INTERDISCIPLINARE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TRIENNIO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745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DISCIPLINE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before="2"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5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MATEMATICA - ECONOMIA AZIENDALE – INFORMATICA – ECONOMIA POLITICA- 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50" w:hanging="2"/>
        <w:jc w:val="center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50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DIRITTO -  INGLESE – SPAGNOLO - STORIA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0" w:right="1628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DOCENTI</w:t>
      </w:r>
    </w:p>
    <w:p w:rsidR="00405733" w:rsidRDefault="002B775A">
      <w:pPr>
        <w:pStyle w:val="Titolo1"/>
        <w:tabs>
          <w:tab w:val="left" w:pos="5245"/>
        </w:tabs>
        <w:spacing w:before="144" w:line="360" w:lineRule="auto"/>
        <w:ind w:left="0" w:right="1545" w:hanging="2"/>
      </w:pPr>
      <w:r>
        <w:t>Prof. Giulia Ruggiero</w:t>
      </w:r>
      <w:r>
        <w:tab/>
        <w:t xml:space="preserve"> </w:t>
      </w:r>
      <w:r>
        <w:t>Prof.  Isabella Morvillo</w:t>
      </w:r>
    </w:p>
    <w:p w:rsidR="00405733" w:rsidRDefault="002B775A">
      <w:pPr>
        <w:pStyle w:val="Titolo1"/>
        <w:tabs>
          <w:tab w:val="left" w:pos="5245"/>
        </w:tabs>
        <w:spacing w:before="144" w:line="360" w:lineRule="auto"/>
        <w:ind w:left="0" w:right="1545" w:hanging="2"/>
      </w:pPr>
      <w:r>
        <w:t>Prof. Fulvia Sassone</w:t>
      </w:r>
      <w:r>
        <w:tab/>
        <w:t xml:space="preserve"> Prof. Natale </w:t>
      </w:r>
      <w:proofErr w:type="spellStart"/>
      <w:r>
        <w:t>Bruzzaniti</w:t>
      </w:r>
      <w:proofErr w:type="spellEnd"/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tabs>
          <w:tab w:val="left" w:pos="5348"/>
        </w:tabs>
        <w:spacing w:line="360" w:lineRule="auto"/>
        <w:ind w:left="0" w:right="1261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Prof. Deborah Zaino                                      </w:t>
      </w:r>
      <w:r>
        <w:rPr>
          <w:b/>
          <w:color w:val="000000"/>
          <w:sz w:val="24"/>
          <w:szCs w:val="24"/>
        </w:rPr>
        <w:t xml:space="preserve">   Prof. Maria Simona </w:t>
      </w:r>
      <w:proofErr w:type="spellStart"/>
      <w:r>
        <w:rPr>
          <w:b/>
          <w:color w:val="000000"/>
          <w:sz w:val="24"/>
          <w:szCs w:val="24"/>
        </w:rPr>
        <w:t>Abbiento</w:t>
      </w:r>
      <w:proofErr w:type="spellEnd"/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tabs>
          <w:tab w:val="left" w:pos="5348"/>
        </w:tabs>
        <w:spacing w:line="360" w:lineRule="auto"/>
        <w:ind w:left="0" w:right="1261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Prof. Francesco Gallone                                </w:t>
      </w:r>
      <w:r>
        <w:rPr>
          <w:b/>
          <w:color w:val="000000"/>
          <w:sz w:val="24"/>
          <w:szCs w:val="24"/>
        </w:rPr>
        <w:t xml:space="preserve">   Prof. Alessandra Ciccarelli         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tabs>
          <w:tab w:val="left" w:pos="5348"/>
        </w:tabs>
        <w:spacing w:line="360" w:lineRule="auto"/>
        <w:ind w:left="0" w:right="2242" w:hanging="2"/>
        <w:rPr>
          <w:color w:val="000000"/>
          <w:sz w:val="24"/>
          <w:szCs w:val="24"/>
        </w:rPr>
        <w:sectPr w:rsidR="00405733">
          <w:pgSz w:w="11910" w:h="16840"/>
          <w:pgMar w:top="1480" w:right="980" w:bottom="280" w:left="880" w:header="720" w:footer="720" w:gutter="0"/>
          <w:pgNumType w:start="1"/>
          <w:cols w:space="720"/>
        </w:sectPr>
      </w:pPr>
      <w:r>
        <w:rPr>
          <w:b/>
          <w:color w:val="000000"/>
          <w:sz w:val="24"/>
          <w:szCs w:val="24"/>
        </w:rPr>
        <w:t xml:space="preserve">Prof. Raffaele Micillo                                       </w:t>
      </w:r>
      <w:r>
        <w:rPr>
          <w:b/>
          <w:color w:val="000000"/>
          <w:sz w:val="24"/>
          <w:szCs w:val="24"/>
        </w:rPr>
        <w:t xml:space="preserve"> Prof. Maria </w:t>
      </w:r>
      <w:proofErr w:type="spellStart"/>
      <w:r>
        <w:rPr>
          <w:b/>
          <w:color w:val="000000"/>
          <w:sz w:val="24"/>
          <w:szCs w:val="24"/>
        </w:rPr>
        <w:t>Kitsou</w:t>
      </w:r>
      <w:proofErr w:type="spellEnd"/>
      <w:r>
        <w:rPr>
          <w:b/>
          <w:color w:val="000000"/>
          <w:sz w:val="24"/>
          <w:szCs w:val="24"/>
        </w:rPr>
        <w:t xml:space="preserve">                    </w:t>
      </w:r>
    </w:p>
    <w:p w:rsidR="00405733" w:rsidRDefault="002B775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OBIETTIVI GENERALI TRASVERSALI ALLE VARIE DISCIPLINE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01" w:line="360" w:lineRule="auto"/>
        <w:ind w:left="0" w:right="15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L’Istituto Tecnico del settore economico, con particolare riferimento all’indirizzo Amministrazione, Finanza e Marketing</w:t>
      </w:r>
      <w:proofErr w:type="gramStart"/>
      <w:r>
        <w:rPr>
          <w:color w:val="000000"/>
          <w:sz w:val="24"/>
          <w:szCs w:val="24"/>
        </w:rPr>
        <w:t>, ,</w:t>
      </w:r>
      <w:proofErr w:type="gramEnd"/>
      <w:r>
        <w:rPr>
          <w:color w:val="000000"/>
          <w:sz w:val="24"/>
          <w:szCs w:val="24"/>
        </w:rPr>
        <w:t xml:space="preserve"> forma, come esplicitato nelle indicazioni nazionali per la scuola secondaria, un profilo che si caratterizza per la cultura tecnico-</w:t>
      </w:r>
      <w:r>
        <w:rPr>
          <w:color w:val="000000"/>
          <w:sz w:val="24"/>
          <w:szCs w:val="24"/>
        </w:rPr>
        <w:t>economica riferita ad ampie aree: l’economia, l’amministrazione delle imprese, la finanza, il  marketing.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53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Gli studenti, a conclusione del percorso di studio, conoscono le tematiche relative ai </w:t>
      </w:r>
      <w:proofErr w:type="spellStart"/>
      <w:r>
        <w:rPr>
          <w:color w:val="000000"/>
          <w:sz w:val="24"/>
          <w:szCs w:val="24"/>
        </w:rPr>
        <w:t>macrofenomeni</w:t>
      </w:r>
      <w:proofErr w:type="spellEnd"/>
      <w:r>
        <w:rPr>
          <w:color w:val="000000"/>
          <w:sz w:val="24"/>
          <w:szCs w:val="24"/>
        </w:rPr>
        <w:t xml:space="preserve"> economico-aziendali, nazionali ed internazionali,</w:t>
      </w:r>
      <w:r>
        <w:rPr>
          <w:color w:val="000000"/>
          <w:sz w:val="24"/>
          <w:szCs w:val="24"/>
        </w:rPr>
        <w:t xml:space="preserve"> alla normativa civilistica e fiscale, ai sistemi aziendali, anche con riferimento alla previsione, organizzazione, conduzione e controllo della gestione, agli strumenti di marketing.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51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completamento del corso di studi, gli studenti - attraverso lo studio, le esperienze operative di laboratorio e in contesti reali, la disponibilità al confronto e al lavoro cooperativo, la valorizzazione della loro creatività ed autonomia – sono in grad</w:t>
      </w:r>
      <w:r>
        <w:rPr>
          <w:color w:val="000000"/>
          <w:sz w:val="24"/>
          <w:szCs w:val="24"/>
        </w:rPr>
        <w:t>o di:</w:t>
      </w:r>
    </w:p>
    <w:p w:rsidR="00405733" w:rsidRDefault="002B7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</w:tabs>
        <w:spacing w:line="360" w:lineRule="auto"/>
        <w:ind w:left="0" w:right="152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agire</w:t>
      </w:r>
      <w:proofErr w:type="gramEnd"/>
      <w:r>
        <w:rPr>
          <w:color w:val="000000"/>
          <w:sz w:val="24"/>
          <w:szCs w:val="24"/>
        </w:rPr>
        <w:t xml:space="preserve"> in base ad un sistema di valori coerenti con i principi della Costituzione, a partire dai quali saper valutare fatti e ispirare i propri comportamenti personali e sociali;</w:t>
      </w:r>
    </w:p>
    <w:p w:rsidR="00405733" w:rsidRDefault="002B7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line="362" w:lineRule="auto"/>
        <w:ind w:left="0" w:right="157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utilizzare</w:t>
      </w:r>
      <w:proofErr w:type="gramEnd"/>
      <w:r>
        <w:rPr>
          <w:color w:val="000000"/>
          <w:sz w:val="24"/>
          <w:szCs w:val="24"/>
        </w:rPr>
        <w:t xml:space="preserve"> gli strumenti culturali e metodologici acquisiti per porsi co</w:t>
      </w:r>
      <w:r>
        <w:rPr>
          <w:color w:val="000000"/>
          <w:sz w:val="24"/>
          <w:szCs w:val="24"/>
        </w:rPr>
        <w:t>n atteggiamento razionale, critico e responsabile di fronte alla realtà, ai suoi fenomeni e ai suoi problemi;</w:t>
      </w:r>
    </w:p>
    <w:p w:rsidR="00405733" w:rsidRDefault="002B7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7"/>
        </w:tabs>
        <w:spacing w:line="360" w:lineRule="auto"/>
        <w:ind w:left="0" w:right="160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padroneggiare</w:t>
      </w:r>
      <w:proofErr w:type="gramEnd"/>
      <w:r>
        <w:rPr>
          <w:color w:val="000000"/>
          <w:sz w:val="24"/>
          <w:szCs w:val="24"/>
        </w:rPr>
        <w:t xml:space="preserve"> il patrimonio lessicale ed espressivo della lingua italiana secondo le esigenze comunicative nei vari contesti: sociali, culturali, scientifici, economici, tecnologici;</w:t>
      </w:r>
    </w:p>
    <w:p w:rsidR="00405733" w:rsidRDefault="002B77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orientarsi</w:t>
      </w:r>
      <w:proofErr w:type="gramEnd"/>
      <w:r>
        <w:rPr>
          <w:color w:val="000000"/>
          <w:sz w:val="24"/>
          <w:szCs w:val="24"/>
        </w:rPr>
        <w:t xml:space="preserve"> agevolmente, anche attraverso la acquisizione e la metabolizza</w:t>
      </w:r>
      <w:r>
        <w:rPr>
          <w:color w:val="000000"/>
          <w:sz w:val="24"/>
          <w:szCs w:val="24"/>
        </w:rPr>
        <w:t xml:space="preserve">zione del linguaggio tecnico specifico, fra testi e autori fondamentali, con riferimento </w:t>
      </w:r>
      <w:proofErr w:type="spellStart"/>
      <w:r>
        <w:rPr>
          <w:color w:val="000000"/>
          <w:sz w:val="24"/>
          <w:szCs w:val="24"/>
        </w:rPr>
        <w:t>sopratutto</w:t>
      </w:r>
      <w:proofErr w:type="spellEnd"/>
      <w:r>
        <w:rPr>
          <w:color w:val="000000"/>
          <w:sz w:val="24"/>
          <w:szCs w:val="24"/>
        </w:rPr>
        <w:t xml:space="preserve"> a tematiche di tipo scientifico, tecnologico ed economico;</w:t>
      </w:r>
    </w:p>
    <w:p w:rsidR="00405733" w:rsidRDefault="002B7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</w:tabs>
        <w:spacing w:line="360" w:lineRule="auto"/>
        <w:ind w:left="0" w:right="153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analizzare</w:t>
      </w:r>
      <w:proofErr w:type="gramEnd"/>
      <w:r>
        <w:rPr>
          <w:color w:val="000000"/>
          <w:sz w:val="24"/>
          <w:szCs w:val="24"/>
        </w:rPr>
        <w:t xml:space="preserve"> la realtà e i fatti concreti della vita quotidiana ed elaborare generalizzazioni che a</w:t>
      </w:r>
      <w:r>
        <w:rPr>
          <w:color w:val="000000"/>
          <w:sz w:val="24"/>
          <w:szCs w:val="24"/>
        </w:rPr>
        <w:t>iutino a spiegare i comportamenti individuali e collettivi in chiave economica;</w:t>
      </w:r>
    </w:p>
    <w:p w:rsidR="00405733" w:rsidRDefault="002B7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31"/>
        </w:tabs>
        <w:spacing w:line="360" w:lineRule="auto"/>
        <w:ind w:left="0" w:right="155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riconoscere</w:t>
      </w:r>
      <w:proofErr w:type="gramEnd"/>
      <w:r>
        <w:rPr>
          <w:color w:val="000000"/>
          <w:sz w:val="24"/>
          <w:szCs w:val="24"/>
        </w:rPr>
        <w:t xml:space="preserve"> la varietà e lo sviluppo storico delle forme economiche, sociali e istituzionali attraverso le categorie di sintesi fornite dall’economia e dal diritto;</w:t>
      </w:r>
    </w:p>
    <w:p w:rsidR="00405733" w:rsidRDefault="002B7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46"/>
        </w:tabs>
        <w:spacing w:line="360" w:lineRule="auto"/>
        <w:ind w:left="0" w:right="159" w:hanging="2"/>
        <w:jc w:val="both"/>
        <w:rPr>
          <w:color w:val="000000"/>
        </w:rPr>
        <w:sectPr w:rsidR="00405733">
          <w:pgSz w:w="11910" w:h="16840"/>
          <w:pgMar w:top="1580" w:right="980" w:bottom="280" w:left="880" w:header="720" w:footer="720" w:gutter="0"/>
          <w:cols w:space="720"/>
        </w:sectPr>
      </w:pPr>
      <w:proofErr w:type="gramStart"/>
      <w:r>
        <w:rPr>
          <w:color w:val="000000"/>
          <w:sz w:val="24"/>
          <w:szCs w:val="24"/>
        </w:rPr>
        <w:t>riconoscere</w:t>
      </w:r>
      <w:proofErr w:type="gramEnd"/>
      <w:r>
        <w:rPr>
          <w:color w:val="000000"/>
          <w:sz w:val="24"/>
          <w:szCs w:val="24"/>
        </w:rPr>
        <w:t xml:space="preserve"> l’interdipendenza tra fenomeni economici, sociali, istituzionali, culturali e la loro dimensione locale/globale;</w:t>
      </w:r>
    </w:p>
    <w:p w:rsidR="00405733" w:rsidRDefault="002B7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spacing w:before="74" w:line="362" w:lineRule="auto"/>
        <w:ind w:left="0" w:right="151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lastRenderedPageBreak/>
        <w:t>analizzare</w:t>
      </w:r>
      <w:proofErr w:type="gramEnd"/>
      <w:r>
        <w:rPr>
          <w:color w:val="000000"/>
          <w:sz w:val="24"/>
          <w:szCs w:val="24"/>
        </w:rPr>
        <w:t>, con l’ausilio di strumenti matematici e informatici, i fenomeni economici e sociali;</w:t>
      </w:r>
    </w:p>
    <w:p w:rsidR="00405733" w:rsidRDefault="002B77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9"/>
        </w:tabs>
        <w:spacing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orientarsi</w:t>
      </w:r>
      <w:proofErr w:type="gramEnd"/>
      <w:r>
        <w:rPr>
          <w:color w:val="000000"/>
          <w:sz w:val="24"/>
          <w:szCs w:val="24"/>
        </w:rPr>
        <w:t xml:space="preserve"> nella normativa pubblicistica, civilistica e fiscale;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145" w:line="357" w:lineRule="auto"/>
        <w:ind w:left="0" w:right="156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intervenire</w:t>
      </w:r>
      <w:proofErr w:type="gramEnd"/>
      <w:r>
        <w:rPr>
          <w:color w:val="000000"/>
          <w:sz w:val="24"/>
          <w:szCs w:val="24"/>
        </w:rPr>
        <w:t xml:space="preserve"> nei sistemi aziendali con riferimento a previsione, organizzazione, conduzione e controllo di gestione;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  <w:tab w:val="left" w:pos="1036"/>
        </w:tabs>
        <w:spacing w:before="3" w:line="240" w:lineRule="auto"/>
        <w:ind w:left="0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utilizzare</w:t>
      </w:r>
      <w:proofErr w:type="gramEnd"/>
      <w:r>
        <w:rPr>
          <w:color w:val="000000"/>
          <w:sz w:val="24"/>
          <w:szCs w:val="24"/>
        </w:rPr>
        <w:t xml:space="preserve"> gli strumenti di marketing in differenti casi e contesti;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142" w:line="357" w:lineRule="auto"/>
        <w:ind w:left="0" w:right="157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distinguere</w:t>
      </w:r>
      <w:proofErr w:type="gramEnd"/>
      <w:r>
        <w:rPr>
          <w:color w:val="000000"/>
          <w:sz w:val="24"/>
          <w:szCs w:val="24"/>
        </w:rPr>
        <w:t xml:space="preserve"> e valutare i prodotti e i servizi aziendali, effettuando calcoli di convenienza per individuare soluzioni ottimali;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3" w:line="357" w:lineRule="auto"/>
        <w:ind w:left="0" w:right="155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agire</w:t>
      </w:r>
      <w:proofErr w:type="gramEnd"/>
      <w:r>
        <w:rPr>
          <w:color w:val="000000"/>
          <w:sz w:val="24"/>
          <w:szCs w:val="24"/>
        </w:rPr>
        <w:t xml:space="preserve"> nel sistema informativo dell’azienda e contribuire sia alla sua innovazione sia al suo adeguamento organizzativo e tecnolo</w:t>
      </w:r>
      <w:r>
        <w:rPr>
          <w:color w:val="000000"/>
          <w:sz w:val="24"/>
          <w:szCs w:val="24"/>
        </w:rPr>
        <w:t>gico;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" w:line="357" w:lineRule="auto"/>
        <w:ind w:left="0" w:right="157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elaborare</w:t>
      </w:r>
      <w:proofErr w:type="gramEnd"/>
      <w:r>
        <w:rPr>
          <w:color w:val="000000"/>
          <w:sz w:val="24"/>
          <w:szCs w:val="24"/>
        </w:rPr>
        <w:t>, interpretare e rappresentare efficacemente dati aziendali con il ricorso a strumenti informatici e software gestionali;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3" w:line="357" w:lineRule="auto"/>
        <w:ind w:left="0" w:right="154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analizzare</w:t>
      </w:r>
      <w:proofErr w:type="gramEnd"/>
      <w:r>
        <w:rPr>
          <w:color w:val="000000"/>
          <w:sz w:val="24"/>
          <w:szCs w:val="24"/>
        </w:rPr>
        <w:t xml:space="preserve"> i problemi scientifici, etici, giuridici e sociali connessi agli strumenti impiegati nella programmazione e gestione aziendale.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5"/>
          <w:tab w:val="left" w:pos="1036"/>
        </w:tabs>
        <w:spacing w:before="4" w:line="357" w:lineRule="auto"/>
        <w:ind w:left="0" w:right="157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riconoscere</w:t>
      </w:r>
      <w:proofErr w:type="gramEnd"/>
      <w:r>
        <w:rPr>
          <w:color w:val="000000"/>
          <w:sz w:val="24"/>
          <w:szCs w:val="24"/>
        </w:rPr>
        <w:t xml:space="preserve"> gli aspetti geografici, ecologici, territoriali, dell’ambiente naturale ed antropico, le connessioni con </w:t>
      </w:r>
      <w:r>
        <w:rPr>
          <w:color w:val="000000"/>
          <w:sz w:val="24"/>
          <w:szCs w:val="24"/>
        </w:rPr>
        <w:t>le strutture demografiche, economiche, sociali, culturali e le trasformazioni intervenute nel corso del tempo;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6" w:line="357" w:lineRule="auto"/>
        <w:ind w:left="0" w:right="157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utilizzare</w:t>
      </w:r>
      <w:proofErr w:type="gramEnd"/>
      <w:r>
        <w:rPr>
          <w:color w:val="000000"/>
          <w:sz w:val="24"/>
          <w:szCs w:val="24"/>
        </w:rPr>
        <w:t xml:space="preserve"> i linguaggi settoriali delle lingue straniere previste dai percorsi di studio per interagire in diversi ambiti e contesti di studio e </w:t>
      </w:r>
      <w:r>
        <w:rPr>
          <w:color w:val="000000"/>
          <w:sz w:val="24"/>
          <w:szCs w:val="24"/>
        </w:rPr>
        <w:t>di lavoro;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6" w:line="357" w:lineRule="auto"/>
        <w:ind w:left="0" w:right="153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individuare</w:t>
      </w:r>
      <w:proofErr w:type="gramEnd"/>
      <w:r>
        <w:rPr>
          <w:color w:val="000000"/>
          <w:sz w:val="24"/>
          <w:szCs w:val="24"/>
        </w:rPr>
        <w:t xml:space="preserve"> ed utilizzare le moderne forme di comunicazione visiva e multimediale, anche con riferimento alle strategie espressive e agli strumenti tecnici della comunicazione in rete;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9"/>
          <w:tab w:val="left" w:pos="1111"/>
        </w:tabs>
        <w:spacing w:before="5" w:line="357" w:lineRule="auto"/>
        <w:ind w:left="0" w:right="157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utilizzare</w:t>
      </w:r>
      <w:proofErr w:type="gramEnd"/>
      <w:r>
        <w:rPr>
          <w:color w:val="000000"/>
          <w:sz w:val="24"/>
          <w:szCs w:val="24"/>
        </w:rPr>
        <w:t xml:space="preserve"> modelli appropriati per investigare su fenomeni e interpretare dati sperimentali;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4" w:line="357" w:lineRule="auto"/>
        <w:ind w:left="0" w:right="154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riconoscere</w:t>
      </w:r>
      <w:proofErr w:type="gramEnd"/>
      <w:r>
        <w:rPr>
          <w:color w:val="000000"/>
          <w:sz w:val="24"/>
          <w:szCs w:val="24"/>
        </w:rPr>
        <w:t>, nei diversi campi disciplinari studiati, i criteri scientifici di affidabilità delle conoscenze e delle conclusioni che vi afferiscono;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3" w:line="357" w:lineRule="auto"/>
        <w:ind w:left="0" w:right="150" w:hanging="2"/>
        <w:jc w:val="both"/>
        <w:rPr>
          <w:color w:val="000000"/>
        </w:rPr>
      </w:pPr>
      <w:proofErr w:type="gramStart"/>
      <w:r>
        <w:rPr>
          <w:color w:val="000000"/>
          <w:sz w:val="24"/>
          <w:szCs w:val="24"/>
        </w:rPr>
        <w:t>comprendere</w:t>
      </w:r>
      <w:proofErr w:type="gramEnd"/>
      <w:r>
        <w:rPr>
          <w:color w:val="000000"/>
          <w:sz w:val="24"/>
          <w:szCs w:val="24"/>
        </w:rPr>
        <w:t xml:space="preserve"> il valore della finalizzazione dell’impegno, del lavoro per obiettivi e della assunzione di responsabilità, nella consapevolezza del valore della propria attività e del proprio ruolo nel gruppo ;</w:t>
      </w:r>
    </w:p>
    <w:p w:rsidR="00405733" w:rsidRDefault="002B775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2"/>
        </w:tabs>
        <w:spacing w:before="6" w:line="357" w:lineRule="auto"/>
        <w:ind w:left="0" w:right="156" w:hanging="2"/>
        <w:jc w:val="both"/>
        <w:rPr>
          <w:color w:val="000000"/>
        </w:rPr>
        <w:sectPr w:rsidR="00405733">
          <w:pgSz w:w="11910" w:h="16840"/>
          <w:pgMar w:top="1040" w:right="980" w:bottom="280" w:left="880" w:header="720" w:footer="720" w:gutter="0"/>
          <w:cols w:space="720"/>
        </w:sectPr>
      </w:pPr>
      <w:proofErr w:type="gramStart"/>
      <w:r>
        <w:rPr>
          <w:color w:val="000000"/>
          <w:sz w:val="24"/>
          <w:szCs w:val="24"/>
        </w:rPr>
        <w:t>analizzare</w:t>
      </w:r>
      <w:proofErr w:type="gramEnd"/>
      <w:r>
        <w:rPr>
          <w:color w:val="000000"/>
          <w:sz w:val="24"/>
          <w:szCs w:val="24"/>
        </w:rPr>
        <w:t xml:space="preserve"> criticamente il contribu</w:t>
      </w:r>
      <w:r>
        <w:rPr>
          <w:color w:val="000000"/>
          <w:sz w:val="24"/>
          <w:szCs w:val="24"/>
        </w:rPr>
        <w:t xml:space="preserve">to apportato dalla scienza e dalla tecnologia allo sviluppo dei </w:t>
      </w:r>
      <w:proofErr w:type="spellStart"/>
      <w:r>
        <w:rPr>
          <w:color w:val="000000"/>
          <w:sz w:val="24"/>
          <w:szCs w:val="24"/>
        </w:rPr>
        <w:t>saperi</w:t>
      </w:r>
      <w:proofErr w:type="spellEnd"/>
      <w:r>
        <w:rPr>
          <w:color w:val="000000"/>
          <w:sz w:val="24"/>
          <w:szCs w:val="24"/>
        </w:rPr>
        <w:t xml:space="preserve"> e dei valori, al cambiamento delle condizioni di vita e dei modi di fruizione culturale;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71" w:line="360" w:lineRule="auto"/>
        <w:ind w:left="0" w:right="153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Gli aspetti tecnologici e tecnici sono presenti fin dal primo biennio ove, attraverso l’apprendi</w:t>
      </w:r>
      <w:r>
        <w:rPr>
          <w:color w:val="000000"/>
          <w:sz w:val="24"/>
          <w:szCs w:val="24"/>
        </w:rPr>
        <w:t xml:space="preserve">mento dei </w:t>
      </w:r>
      <w:proofErr w:type="spellStart"/>
      <w:r>
        <w:rPr>
          <w:color w:val="000000"/>
          <w:sz w:val="24"/>
          <w:szCs w:val="24"/>
        </w:rPr>
        <w:t>saperi</w:t>
      </w:r>
      <w:proofErr w:type="spellEnd"/>
      <w:r>
        <w:rPr>
          <w:color w:val="000000"/>
          <w:sz w:val="24"/>
          <w:szCs w:val="24"/>
        </w:rPr>
        <w:t xml:space="preserve">-chiave, acquisiti soprattutto attraverso l’attività di laboratorio, esplicano una funzione orientativa. Nel secondo biennio, le discipline di </w:t>
      </w:r>
      <w:proofErr w:type="gramStart"/>
      <w:r>
        <w:rPr>
          <w:color w:val="000000"/>
          <w:sz w:val="24"/>
          <w:szCs w:val="24"/>
        </w:rPr>
        <w:t>indirizzo  assumono</w:t>
      </w:r>
      <w:proofErr w:type="gramEnd"/>
      <w:r>
        <w:rPr>
          <w:color w:val="000000"/>
          <w:sz w:val="24"/>
          <w:szCs w:val="24"/>
        </w:rPr>
        <w:t xml:space="preserve"> connotazioni specifiche in una prospettiva interdisciplinare finalizzata a fa</w:t>
      </w:r>
      <w:r>
        <w:rPr>
          <w:color w:val="000000"/>
          <w:sz w:val="24"/>
          <w:szCs w:val="24"/>
        </w:rPr>
        <w:t xml:space="preserve">r raggiungere agli studenti, nel quinto anno, </w:t>
      </w:r>
      <w:r>
        <w:rPr>
          <w:sz w:val="24"/>
          <w:szCs w:val="24"/>
        </w:rPr>
        <w:t>un'adeguata</w:t>
      </w:r>
      <w:r>
        <w:rPr>
          <w:color w:val="000000"/>
          <w:sz w:val="24"/>
          <w:szCs w:val="24"/>
        </w:rPr>
        <w:t xml:space="preserve"> competenza professionale di settore, idonea anche per la prosecuzione degli studi con particolare riferimento all’esercizio delle professioni tecniche. Il secondo biennio e il quinto anno costituisc</w:t>
      </w:r>
      <w:r>
        <w:rPr>
          <w:color w:val="000000"/>
          <w:sz w:val="24"/>
          <w:szCs w:val="24"/>
        </w:rPr>
        <w:t>ono, quindi, un percorso unitario per accompagnare e sostenere le scelte dello studente nella costruzione progressiva del suo progetto di vita, di studio e di lavoro.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54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 una simile impostazione sottostà una concezione della formazione capace di rispondere alle esigenze di crescita culturale dell’allievo in una prospettiva </w:t>
      </w:r>
      <w:proofErr w:type="spellStart"/>
      <w:r>
        <w:rPr>
          <w:color w:val="000000"/>
          <w:sz w:val="24"/>
          <w:szCs w:val="24"/>
        </w:rPr>
        <w:t>pre</w:t>
      </w:r>
      <w:proofErr w:type="spellEnd"/>
      <w:r>
        <w:rPr>
          <w:color w:val="000000"/>
          <w:sz w:val="24"/>
          <w:szCs w:val="24"/>
        </w:rPr>
        <w:t xml:space="preserve"> - professionalizzante. Per realizzare tale obiettivo è, pertanto, necessario che ciascun docent</w:t>
      </w:r>
      <w:r>
        <w:rPr>
          <w:color w:val="000000"/>
          <w:sz w:val="24"/>
          <w:szCs w:val="24"/>
        </w:rPr>
        <w:t>e sposti l’attenzione dalla disciplina di cui è titolare alla sua valenza formativa più generale, in un approccio in cui il percorso formativo punta alle competenze, aggregate per assi culturali.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15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Nell’ indirizzo tecnico economico, peraltro, è particolarmen</w:t>
      </w:r>
      <w:r>
        <w:rPr>
          <w:color w:val="000000"/>
          <w:sz w:val="24"/>
          <w:szCs w:val="24"/>
        </w:rPr>
        <w:t xml:space="preserve">te rilevante l’incontro fra il concetto di assi culturali e quello di </w:t>
      </w:r>
      <w:proofErr w:type="gramStart"/>
      <w:r>
        <w:rPr>
          <w:color w:val="000000"/>
          <w:sz w:val="24"/>
          <w:szCs w:val="24"/>
        </w:rPr>
        <w:t>interdisciplinarità .</w:t>
      </w:r>
      <w:proofErr w:type="gramEnd"/>
      <w:r>
        <w:rPr>
          <w:color w:val="000000"/>
          <w:sz w:val="24"/>
          <w:szCs w:val="24"/>
        </w:rPr>
        <w:t xml:space="preserve"> L’ economia aziendale, infatti, riconducibile all’asse scientifico-tecnologico, necessariamente implica un collegamento continuo con elementi linguistici, logico – </w:t>
      </w:r>
      <w:r>
        <w:rPr>
          <w:color w:val="000000"/>
          <w:sz w:val="24"/>
          <w:szCs w:val="24"/>
        </w:rPr>
        <w:t>matematici e sociologici nonché con lo studio del diritto e dell’economia politica, materie, queste ultime, attinenti principalmente all’asse storico sociale. Allo stesso modo, in particolare nel corso del quinto anno, rilevanti sono i punti di contatto fr</w:t>
      </w:r>
      <w:r>
        <w:rPr>
          <w:color w:val="000000"/>
          <w:sz w:val="24"/>
          <w:szCs w:val="24"/>
        </w:rPr>
        <w:t xml:space="preserve">a il diritto pubblico </w:t>
      </w:r>
      <w:proofErr w:type="gramStart"/>
      <w:r>
        <w:rPr>
          <w:color w:val="000000"/>
          <w:sz w:val="24"/>
          <w:szCs w:val="24"/>
        </w:rPr>
        <w:t>( nascita</w:t>
      </w:r>
      <w:proofErr w:type="gramEnd"/>
      <w:r>
        <w:rPr>
          <w:color w:val="000000"/>
          <w:sz w:val="24"/>
          <w:szCs w:val="24"/>
        </w:rPr>
        <w:t xml:space="preserve"> della Costituzione e diritti fondamentali)  e la storia ( secondo dopoguerra). 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right="156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Una corretta programmazione per discipline presuppone, dunque, il riferimento costante alla programmazione per dipartimenti ed ai collegamenti i</w:t>
      </w:r>
      <w:r>
        <w:rPr>
          <w:color w:val="000000"/>
          <w:sz w:val="24"/>
          <w:szCs w:val="24"/>
        </w:rPr>
        <w:t>nterdisciplinari.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right="156" w:hanging="2"/>
        <w:jc w:val="both"/>
        <w:rPr>
          <w:b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right="156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2) COORDINAMENTO CON LA PROPOSTA EDUCATIVO-PASTORALE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Le discipline economico – giuridiche rappresentano un valido strumento di trasmissione agli allievi dei principi di solidarietà sociale di condivisione e di sostegno. Nella prospettiva di coordinare l’insegnamento delle predette discipline con gli obie</w:t>
      </w:r>
      <w:r>
        <w:rPr>
          <w:color w:val="000000"/>
          <w:sz w:val="24"/>
          <w:szCs w:val="24"/>
        </w:rPr>
        <w:t xml:space="preserve">ttivi della proposta educativo – pastorale, il dipartimento intende proporre agli allievi una serie di incontri </w:t>
      </w:r>
      <w:proofErr w:type="gramStart"/>
      <w:r>
        <w:rPr>
          <w:color w:val="000000"/>
          <w:sz w:val="24"/>
          <w:szCs w:val="24"/>
        </w:rPr>
        <w:t>( anche</w:t>
      </w:r>
      <w:proofErr w:type="gramEnd"/>
      <w:r>
        <w:rPr>
          <w:color w:val="000000"/>
          <w:sz w:val="24"/>
          <w:szCs w:val="24"/>
        </w:rPr>
        <w:t xml:space="preserve"> da remoto)  con professionisti e imprenditori che possano trasmettere la propria esperienza di crescita e  realizzazione professionale.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3) OBIETTIVI MINIMI </w:t>
      </w:r>
      <w:r>
        <w:rPr>
          <w:b/>
          <w:sz w:val="24"/>
          <w:szCs w:val="24"/>
        </w:rPr>
        <w:t xml:space="preserve">SPECIFICI DELL’AREA TECNICO - SCIENTIFICA, GIURIDICO </w:t>
      </w:r>
      <w:r>
        <w:rPr>
          <w:b/>
          <w:sz w:val="24"/>
          <w:szCs w:val="24"/>
        </w:rPr>
        <w:lastRenderedPageBreak/>
        <w:t>- ECONOMICA E LINGUISTICA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0" w:right="158" w:hanging="2"/>
        <w:jc w:val="both"/>
        <w:rPr>
          <w:color w:val="000000"/>
          <w:sz w:val="24"/>
          <w:szCs w:val="24"/>
        </w:rPr>
        <w:sectPr w:rsidR="00405733">
          <w:pgSz w:w="11910" w:h="16840"/>
          <w:pgMar w:top="1480" w:right="980" w:bottom="280" w:left="880" w:header="720" w:footer="720" w:gutter="0"/>
          <w:cols w:space="720"/>
        </w:sectPr>
      </w:pPr>
      <w:r>
        <w:rPr>
          <w:color w:val="000000"/>
          <w:sz w:val="24"/>
          <w:szCs w:val="24"/>
        </w:rPr>
        <w:t>I docenti di economia aziendale, diritto ed economia politica, informatica, matematica, storia, inglese e spagnolo hanno sviluppato le singol</w:t>
      </w:r>
      <w:r>
        <w:rPr>
          <w:color w:val="000000"/>
          <w:sz w:val="24"/>
          <w:szCs w:val="24"/>
        </w:rPr>
        <w:t>e programmazioni disciplinari al fine di sviluppare le seguenti unità di apprendimento inter-disciplinari concordate.</w:t>
      </w:r>
    </w:p>
    <w:p w:rsidR="00405733" w:rsidRDefault="002B775A">
      <w:pPr>
        <w:pStyle w:val="Titolo1"/>
        <w:spacing w:before="82" w:after="4"/>
        <w:ind w:left="0" w:right="1741" w:hanging="2"/>
      </w:pPr>
      <w:r>
        <w:lastRenderedPageBreak/>
        <w:t xml:space="preserve">     CLASSE TERZA</w:t>
      </w:r>
    </w:p>
    <w:tbl>
      <w:tblPr>
        <w:tblStyle w:val="a"/>
        <w:tblW w:w="9792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2101"/>
        <w:gridCol w:w="2586"/>
        <w:gridCol w:w="3201"/>
      </w:tblGrid>
      <w:tr w:rsidR="00405733">
        <w:trPr>
          <w:trHeight w:val="868"/>
        </w:trPr>
        <w:tc>
          <w:tcPr>
            <w:tcW w:w="1904" w:type="dxa"/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Discipline</w:t>
            </w:r>
          </w:p>
        </w:tc>
        <w:tc>
          <w:tcPr>
            <w:tcW w:w="2101" w:type="dxa"/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Unità di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right="61" w:hanging="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apprendimento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interdisciplinare</w:t>
            </w:r>
          </w:p>
        </w:tc>
        <w:tc>
          <w:tcPr>
            <w:tcW w:w="258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Conoscenze</w:t>
            </w:r>
          </w:p>
        </w:tc>
        <w:tc>
          <w:tcPr>
            <w:tcW w:w="32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1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Abilità</w:t>
            </w:r>
          </w:p>
        </w:tc>
      </w:tr>
      <w:tr w:rsidR="00405733">
        <w:trPr>
          <w:trHeight w:val="5210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6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AZIENDALE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07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POLITICA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SPAGNOLO</w:t>
            </w:r>
          </w:p>
        </w:tc>
        <w:tc>
          <w:tcPr>
            <w:tcW w:w="21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Impresa e Azienda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Operatore impresa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left="0" w:right="78" w:hanging="2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Empresa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las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aciendas</w:t>
            </w:r>
            <w:proofErr w:type="spellEnd"/>
          </w:p>
        </w:tc>
        <w:tc>
          <w:tcPr>
            <w:tcW w:w="258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8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Elementi</w:t>
            </w:r>
            <w:r>
              <w:rPr>
                <w:color w:val="000000"/>
                <w:sz w:val="24"/>
                <w:szCs w:val="24"/>
              </w:rPr>
              <w:tab/>
              <w:t>costitutivi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54"/>
              </w:tabs>
              <w:spacing w:before="1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della</w:t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>impresa; differenza fra impresa e azienda; i criteri di scelta cui si riferisce l’imprenditore</w:t>
            </w:r>
          </w:p>
        </w:tc>
        <w:tc>
          <w:tcPr>
            <w:tcW w:w="32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Distinguere le tipologie di azienda e il soggetto giuridico </w:t>
            </w:r>
            <w:proofErr w:type="gramStart"/>
            <w:r>
              <w:rPr>
                <w:color w:val="000000"/>
                <w:sz w:val="24"/>
                <w:szCs w:val="24"/>
              </w:rPr>
              <w:t>impresa .</w:t>
            </w:r>
            <w:proofErr w:type="gramEnd"/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Saper individuare ed analizzare criticamente i parametri per la scelta della ottimizzazione delle risorse</w:t>
            </w:r>
          </w:p>
        </w:tc>
      </w:tr>
      <w:tr w:rsidR="00405733">
        <w:trPr>
          <w:trHeight w:val="4322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246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AZIENDALE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5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21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L’impresa e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7" w:hanging="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l’ambiente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in cui opera.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Flussi e processi aziendali</w:t>
            </w:r>
          </w:p>
        </w:tc>
        <w:tc>
          <w:tcPr>
            <w:tcW w:w="258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31"/>
              </w:tabs>
              <w:spacing w:before="1" w:line="240" w:lineRule="auto"/>
              <w:ind w:left="0" w:right="-15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</w:t>
            </w:r>
            <w:r>
              <w:rPr>
                <w:color w:val="000000"/>
                <w:sz w:val="24"/>
                <w:szCs w:val="24"/>
              </w:rPr>
              <w:tab/>
              <w:t>influenze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3"/>
                <w:tab w:val="left" w:pos="1968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dell’ambiente</w:t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>esterno sulle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scelte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dell’imprenditore .</w:t>
            </w:r>
            <w:proofErr w:type="gramEnd"/>
          </w:p>
        </w:tc>
        <w:tc>
          <w:tcPr>
            <w:tcW w:w="32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33"/>
              </w:tabs>
              <w:spacing w:before="1"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Riconoscere le scelte aziendali</w:t>
            </w:r>
            <w:r>
              <w:rPr>
                <w:color w:val="000000"/>
                <w:sz w:val="24"/>
                <w:szCs w:val="24"/>
              </w:rPr>
              <w:tab/>
              <w:t>influenzate dall’ambiente esterno.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Stesura di documenti per specifiche funzioni.</w:t>
            </w:r>
          </w:p>
        </w:tc>
      </w:tr>
      <w:tr w:rsidR="00405733">
        <w:trPr>
          <w:trHeight w:val="3163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DIRITTO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5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21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Ricerca delle fonti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7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Database</w:t>
            </w:r>
          </w:p>
        </w:tc>
        <w:tc>
          <w:tcPr>
            <w:tcW w:w="258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 fonti del diritto e i criteri che ne regolano i rapporti.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ricerca delle fonti attraverso i database</w:t>
            </w:r>
          </w:p>
        </w:tc>
        <w:tc>
          <w:tcPr>
            <w:tcW w:w="32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Ricercare le fonti normative e giurisprudenziali attraverso i database</w:t>
            </w:r>
          </w:p>
        </w:tc>
      </w:tr>
    </w:tbl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  <w:sectPr w:rsidR="00405733">
          <w:pgSz w:w="11910" w:h="16840"/>
          <w:pgMar w:top="1320" w:right="980" w:bottom="280" w:left="880" w:header="720" w:footer="720" w:gutter="0"/>
          <w:cols w:space="720"/>
        </w:sect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4"/>
          <w:szCs w:val="24"/>
        </w:rPr>
      </w:pPr>
    </w:p>
    <w:tbl>
      <w:tblPr>
        <w:tblStyle w:val="a0"/>
        <w:tblW w:w="9792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2101"/>
        <w:gridCol w:w="2586"/>
        <w:gridCol w:w="3201"/>
      </w:tblGrid>
      <w:tr w:rsidR="00405733">
        <w:trPr>
          <w:trHeight w:val="290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05733">
        <w:trPr>
          <w:trHeight w:val="4055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47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POLITICA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13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MATEMATICA</w:t>
            </w:r>
          </w:p>
        </w:tc>
        <w:tc>
          <w:tcPr>
            <w:tcW w:w="21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"/>
                <w:tab w:val="left" w:pos="1592"/>
                <w:tab w:val="left" w:pos="1962"/>
              </w:tabs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</w:t>
            </w:r>
            <w:r>
              <w:rPr>
                <w:color w:val="000000"/>
                <w:sz w:val="24"/>
                <w:szCs w:val="24"/>
              </w:rPr>
              <w:tab/>
              <w:t>legge</w:t>
            </w:r>
            <w:r>
              <w:rPr>
                <w:color w:val="000000"/>
                <w:sz w:val="24"/>
                <w:szCs w:val="24"/>
              </w:rPr>
              <w:tab/>
              <w:t>della domanda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e dell’offerta: rappresentazione grafica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2"/>
              </w:tabs>
              <w:spacing w:before="241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 cartesiani, equazione</w:t>
            </w:r>
            <w:r>
              <w:rPr>
                <w:color w:val="000000"/>
                <w:sz w:val="24"/>
                <w:szCs w:val="24"/>
              </w:rPr>
              <w:tab/>
              <w:t>e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3"/>
              </w:tabs>
              <w:spacing w:before="2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intersezione</w:t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>tra rette</w:t>
            </w:r>
          </w:p>
        </w:tc>
        <w:tc>
          <w:tcPr>
            <w:tcW w:w="258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40" w:lineRule="auto"/>
              <w:ind w:left="0" w:right="2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 leggi del mercato e la loro rappresentazione su grafico</w:t>
            </w:r>
          </w:p>
        </w:tc>
        <w:tc>
          <w:tcPr>
            <w:tcW w:w="32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Sapere individuare il punto di equilibrio del mercato relativamente alla domanda e all’offerta, anche attraverso la interpretazione dei grafici e dei modelli economici</w:t>
            </w:r>
          </w:p>
        </w:tc>
      </w:tr>
      <w:tr w:rsidR="00405733">
        <w:trPr>
          <w:trHeight w:val="5215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40" w:lineRule="auto"/>
              <w:ind w:left="0" w:right="243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POLITICA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21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Beni e bisogni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produzione: fattori e settori produttivi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4"/>
                <w:tab w:val="left" w:pos="1880"/>
              </w:tabs>
              <w:spacing w:before="192" w:line="240" w:lineRule="auto"/>
              <w:ind w:left="0" w:right="1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Production:</w:t>
            </w:r>
            <w:r>
              <w:rPr>
                <w:color w:val="000000"/>
                <w:sz w:val="24"/>
                <w:szCs w:val="24"/>
              </w:rPr>
              <w:tab/>
            </w:r>
            <w:proofErr w:type="spellStart"/>
            <w:proofErr w:type="gramEnd"/>
            <w:r>
              <w:rPr>
                <w:color w:val="000000"/>
                <w:sz w:val="24"/>
                <w:szCs w:val="24"/>
              </w:rPr>
              <w:t>Needs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color w:val="000000"/>
                <w:sz w:val="24"/>
                <w:szCs w:val="24"/>
              </w:rPr>
              <w:t>Wants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color w:val="000000"/>
                <w:sz w:val="24"/>
                <w:szCs w:val="24"/>
              </w:rPr>
              <w:t>Goods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Services </w:t>
            </w:r>
            <w:proofErr w:type="spellStart"/>
            <w:r>
              <w:rPr>
                <w:color w:val="000000"/>
                <w:sz w:val="24"/>
                <w:szCs w:val="24"/>
              </w:rPr>
              <w:t>Factors</w:t>
            </w:r>
            <w:proofErr w:type="spellEnd"/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of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Production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82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Sectors</w:t>
            </w:r>
            <w:proofErr w:type="spellEnd"/>
            <w:r>
              <w:rPr>
                <w:color w:val="000000"/>
                <w:sz w:val="24"/>
                <w:szCs w:val="24"/>
              </w:rPr>
              <w:tab/>
              <w:t>of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Production</w:t>
            </w:r>
          </w:p>
        </w:tc>
        <w:tc>
          <w:tcPr>
            <w:tcW w:w="258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98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Beni e bisogni: classificazione.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43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produzione: fattori produttivi e settori della produzione</w:t>
            </w:r>
          </w:p>
        </w:tc>
        <w:tc>
          <w:tcPr>
            <w:tcW w:w="32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40" w:lineRule="auto"/>
              <w:ind w:left="0" w:right="3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Individuare e classificare beni e bisogni e i settori della produzione, sapendoli esporre anche in lingua</w:t>
            </w:r>
          </w:p>
        </w:tc>
      </w:tr>
      <w:tr w:rsidR="00405733">
        <w:trPr>
          <w:trHeight w:val="4332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4" w:line="240" w:lineRule="auto"/>
              <w:ind w:left="0" w:right="54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SPAGNOLO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 w:line="240" w:lineRule="auto"/>
              <w:ind w:left="0" w:right="5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21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98"/>
              </w:tabs>
              <w:spacing w:line="240" w:lineRule="auto"/>
              <w:ind w:left="0" w:right="1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Information Technology</w:t>
            </w:r>
            <w:r>
              <w:rPr>
                <w:color w:val="000000"/>
                <w:sz w:val="24"/>
                <w:szCs w:val="24"/>
              </w:rPr>
              <w:tab/>
              <w:t>in Business Information Technology</w:t>
            </w:r>
            <w:r>
              <w:rPr>
                <w:color w:val="000000"/>
                <w:sz w:val="24"/>
                <w:szCs w:val="24"/>
              </w:rPr>
              <w:tab/>
              <w:t>in Manufacturing and Distribution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51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E- </w:t>
            </w:r>
            <w:proofErr w:type="spellStart"/>
            <w:r>
              <w:rPr>
                <w:color w:val="000000"/>
                <w:sz w:val="24"/>
                <w:szCs w:val="24"/>
              </w:rPr>
              <w:t>commerce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Business </w:t>
            </w:r>
            <w:proofErr w:type="spellStart"/>
            <w:r>
              <w:rPr>
                <w:color w:val="000000"/>
                <w:sz w:val="24"/>
                <w:szCs w:val="24"/>
              </w:rPr>
              <w:t>letter</w:t>
            </w:r>
            <w:proofErr w:type="spellEnd"/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carte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4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Utilizzo di word</w:t>
            </w:r>
          </w:p>
        </w:tc>
        <w:tc>
          <w:tcPr>
            <w:tcW w:w="258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8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lettera commerciale e le sue diverse forme e strutture</w:t>
            </w:r>
          </w:p>
        </w:tc>
        <w:tc>
          <w:tcPr>
            <w:tcW w:w="320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8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Distinguere le diverse forme di commercio e redigere lettere commerciali, anche in lingua</w:t>
            </w:r>
          </w:p>
        </w:tc>
      </w:tr>
    </w:tbl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  <w:sectPr w:rsidR="00405733">
          <w:pgSz w:w="11910" w:h="16840"/>
          <w:pgMar w:top="1120" w:right="980" w:bottom="280" w:left="880" w:header="720" w:footer="720" w:gutter="0"/>
          <w:cols w:space="720"/>
        </w:sect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ind w:left="0" w:right="1741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CLASSE QUARTA</w:t>
      </w:r>
    </w:p>
    <w:tbl>
      <w:tblPr>
        <w:tblStyle w:val="a1"/>
        <w:tblW w:w="9789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2475"/>
        <w:gridCol w:w="2700"/>
        <w:gridCol w:w="2710"/>
      </w:tblGrid>
      <w:tr w:rsidR="00405733">
        <w:trPr>
          <w:trHeight w:val="870"/>
        </w:trPr>
        <w:tc>
          <w:tcPr>
            <w:tcW w:w="1904" w:type="dxa"/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Discipline</w:t>
            </w:r>
          </w:p>
        </w:tc>
        <w:tc>
          <w:tcPr>
            <w:tcW w:w="2475" w:type="dxa"/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right="24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Unità di apprendimento interdisciplinare</w:t>
            </w:r>
          </w:p>
        </w:tc>
        <w:tc>
          <w:tcPr>
            <w:tcW w:w="2700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Conoscenze</w:t>
            </w:r>
          </w:p>
        </w:tc>
        <w:tc>
          <w:tcPr>
            <w:tcW w:w="2710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4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Abilità</w:t>
            </w:r>
          </w:p>
        </w:tc>
      </w:tr>
      <w:tr w:rsidR="00405733">
        <w:trPr>
          <w:trHeight w:val="4340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6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AZIENDALE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DIRITTO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51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 SPAGNOLO</w:t>
            </w:r>
          </w:p>
        </w:tc>
        <w:tc>
          <w:tcPr>
            <w:tcW w:w="2475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 società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 società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18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Partnership Las </w:t>
            </w:r>
            <w:proofErr w:type="spellStart"/>
            <w:r>
              <w:rPr>
                <w:color w:val="000000"/>
                <w:sz w:val="24"/>
                <w:szCs w:val="24"/>
              </w:rPr>
              <w:t>sociedades</w:t>
            </w:r>
            <w:proofErr w:type="spellEnd"/>
          </w:p>
        </w:tc>
        <w:tc>
          <w:tcPr>
            <w:tcW w:w="2700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77"/>
              </w:tabs>
              <w:spacing w:before="186" w:line="240" w:lineRule="auto"/>
              <w:ind w:left="0" w:right="-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Contenuto e funzione del contratto di società; individuazione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dei caratteri comuni alle imprese collettive e differenziazione dei tipi sociali</w:t>
            </w:r>
          </w:p>
        </w:tc>
        <w:tc>
          <w:tcPr>
            <w:tcW w:w="2710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11"/>
              </w:tabs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Comprendere le scelte strategiche in base alla forma</w:t>
            </w:r>
            <w:r>
              <w:rPr>
                <w:color w:val="000000"/>
                <w:sz w:val="24"/>
                <w:szCs w:val="24"/>
              </w:rPr>
              <w:tab/>
              <w:t>giuridica dell’azienda.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2"/>
              </w:tabs>
              <w:spacing w:before="1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Distinguere i concetti di autonomia patrimoniale perfetta e </w:t>
            </w:r>
            <w:proofErr w:type="gramStart"/>
            <w:r>
              <w:rPr>
                <w:color w:val="000000"/>
                <w:sz w:val="24"/>
                <w:szCs w:val="24"/>
              </w:rPr>
              <w:t>imperfetta ;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tipologie di società e fonti di finanziamento, anche attraverso il raffronto con il modello anglosassone</w:t>
            </w:r>
            <w:r>
              <w:rPr>
                <w:color w:val="000000"/>
                <w:sz w:val="24"/>
                <w:szCs w:val="24"/>
              </w:rPr>
              <w:tab/>
              <w:t>e spagnolo.</w:t>
            </w:r>
          </w:p>
        </w:tc>
      </w:tr>
      <w:tr w:rsidR="00405733">
        <w:trPr>
          <w:trHeight w:val="2896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246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AZIENDALE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 w:line="240" w:lineRule="auto"/>
              <w:ind w:left="0" w:right="5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DIRITTO</w:t>
            </w:r>
          </w:p>
        </w:tc>
        <w:tc>
          <w:tcPr>
            <w:tcW w:w="2475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bilancio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bilancio</w:t>
            </w:r>
          </w:p>
        </w:tc>
        <w:tc>
          <w:tcPr>
            <w:tcW w:w="2700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-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Finalità, struttura e procedura di formazione del bilancio di esercizio</w:t>
            </w:r>
          </w:p>
        </w:tc>
        <w:tc>
          <w:tcPr>
            <w:tcW w:w="2710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459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Interpretare e riconoscere le voci di </w:t>
            </w:r>
            <w:proofErr w:type="gramStart"/>
            <w:r>
              <w:rPr>
                <w:color w:val="000000"/>
                <w:sz w:val="24"/>
                <w:szCs w:val="24"/>
              </w:rPr>
              <w:t>bilancio .</w:t>
            </w:r>
            <w:proofErr w:type="gramEnd"/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Analizzare le funzioni di bilancio e la sua struttura </w:t>
            </w:r>
            <w:proofErr w:type="spellStart"/>
            <w:r>
              <w:rPr>
                <w:color w:val="000000"/>
                <w:sz w:val="24"/>
                <w:szCs w:val="24"/>
              </w:rPr>
              <w:t>codicistica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05733">
        <w:trPr>
          <w:trHeight w:val="4927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7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AZIENDALE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5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DIRITTO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1" w:line="240" w:lineRule="auto"/>
              <w:ind w:left="0" w:right="54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</w:tc>
        <w:tc>
          <w:tcPr>
            <w:tcW w:w="2475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Gestione del personale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3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lavoro subordinato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95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Business </w:t>
            </w:r>
            <w:proofErr w:type="spellStart"/>
            <w:r>
              <w:rPr>
                <w:color w:val="000000"/>
                <w:sz w:val="24"/>
                <w:szCs w:val="24"/>
              </w:rPr>
              <w:t>Communication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Describing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organizations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color w:val="000000"/>
                <w:sz w:val="24"/>
                <w:szCs w:val="24"/>
              </w:rPr>
              <w:t>jobs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Applying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for a job</w:t>
            </w:r>
          </w:p>
        </w:tc>
        <w:tc>
          <w:tcPr>
            <w:tcW w:w="2700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40" w:lineRule="auto"/>
              <w:ind w:left="0" w:right="-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 gestione delle risorse </w:t>
            </w:r>
            <w:proofErr w:type="gramStart"/>
            <w:r>
              <w:rPr>
                <w:color w:val="000000"/>
                <w:sz w:val="24"/>
                <w:szCs w:val="24"/>
              </w:rPr>
              <w:t>umane ;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costituzione , svolgimento</w:t>
            </w:r>
            <w:r>
              <w:rPr>
                <w:color w:val="000000"/>
                <w:sz w:val="24"/>
                <w:szCs w:val="24"/>
              </w:rPr>
              <w:tab/>
              <w:t>ed estinzione del  rapporto di lavoro</w:t>
            </w:r>
          </w:p>
        </w:tc>
        <w:tc>
          <w:tcPr>
            <w:tcW w:w="2710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72"/>
              </w:tabs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Conoscere</w:t>
            </w:r>
            <w:r>
              <w:rPr>
                <w:color w:val="000000"/>
                <w:sz w:val="24"/>
                <w:szCs w:val="24"/>
              </w:rPr>
              <w:tab/>
              <w:t>e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2"/>
              </w:tabs>
              <w:spacing w:line="240" w:lineRule="auto"/>
              <w:ind w:left="0" w:right="-15"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comprendere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le strategie per la ottimizzazione delle risorse umane nell’ambito</w:t>
            </w:r>
            <w:r>
              <w:rPr>
                <w:color w:val="000000"/>
                <w:sz w:val="24"/>
                <w:szCs w:val="24"/>
              </w:rPr>
              <w:tab/>
              <w:t>della normativa vigente.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Saper redigere un curriculum vitae europeo</w:t>
            </w:r>
          </w:p>
        </w:tc>
      </w:tr>
    </w:tbl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  <w:sectPr w:rsidR="00405733">
          <w:pgSz w:w="11910" w:h="16840"/>
          <w:pgMar w:top="1580" w:right="980" w:bottom="280" w:left="880" w:header="720" w:footer="720" w:gutter="0"/>
          <w:cols w:space="720"/>
        </w:sect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4"/>
          <w:szCs w:val="24"/>
        </w:rPr>
      </w:pPr>
    </w:p>
    <w:tbl>
      <w:tblPr>
        <w:tblStyle w:val="a2"/>
        <w:tblW w:w="9789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2475"/>
        <w:gridCol w:w="2700"/>
        <w:gridCol w:w="2710"/>
      </w:tblGrid>
      <w:tr w:rsidR="00405733">
        <w:trPr>
          <w:trHeight w:val="3124"/>
        </w:trPr>
        <w:tc>
          <w:tcPr>
            <w:tcW w:w="190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2475" w:type="dxa"/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CVE</w:t>
            </w:r>
          </w:p>
        </w:tc>
        <w:tc>
          <w:tcPr>
            <w:tcW w:w="2700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05733">
        <w:trPr>
          <w:cantSplit/>
          <w:trHeight w:val="571"/>
        </w:trPr>
        <w:tc>
          <w:tcPr>
            <w:tcW w:w="1904" w:type="dxa"/>
            <w:tcBorders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</w:t>
            </w:r>
          </w:p>
        </w:tc>
        <w:tc>
          <w:tcPr>
            <w:tcW w:w="2475" w:type="dxa"/>
            <w:tcBorders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Marketing</w:t>
            </w:r>
          </w:p>
        </w:tc>
        <w:tc>
          <w:tcPr>
            <w:tcW w:w="2700" w:type="dxa"/>
            <w:vMerge w:val="restart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tcBorders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05733">
        <w:trPr>
          <w:cantSplit/>
          <w:trHeight w:val="713"/>
        </w:trPr>
        <w:tc>
          <w:tcPr>
            <w:tcW w:w="1904" w:type="dxa"/>
            <w:tcBorders>
              <w:top w:val="nil"/>
              <w:bottom w:val="nil"/>
            </w:tcBorders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3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AZIENDALE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05733">
        <w:trPr>
          <w:cantSplit/>
          <w:trHeight w:val="715"/>
        </w:trPr>
        <w:tc>
          <w:tcPr>
            <w:tcW w:w="1904" w:type="dxa"/>
            <w:tcBorders>
              <w:top w:val="nil"/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17"/>
              </w:tabs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Individuare</w:t>
            </w:r>
            <w:r>
              <w:rPr>
                <w:color w:val="000000"/>
                <w:sz w:val="24"/>
                <w:szCs w:val="24"/>
              </w:rPr>
              <w:tab/>
              <w:t>la</w:t>
            </w:r>
          </w:p>
        </w:tc>
      </w:tr>
      <w:tr w:rsidR="00405733">
        <w:trPr>
          <w:cantSplit/>
          <w:trHeight w:val="280"/>
        </w:trPr>
        <w:tc>
          <w:tcPr>
            <w:tcW w:w="1904" w:type="dxa"/>
            <w:tcBorders>
              <w:top w:val="nil"/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importanza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del sistema</w:t>
            </w:r>
          </w:p>
        </w:tc>
      </w:tr>
      <w:tr w:rsidR="00405733">
        <w:trPr>
          <w:cantSplit/>
          <w:trHeight w:val="279"/>
        </w:trPr>
        <w:tc>
          <w:tcPr>
            <w:tcW w:w="1904" w:type="dxa"/>
            <w:tcBorders>
              <w:top w:val="nil"/>
              <w:bottom w:val="nil"/>
            </w:tcBorders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Datawarehouse</w:t>
            </w:r>
            <w:proofErr w:type="spellEnd"/>
          </w:p>
        </w:tc>
        <w:tc>
          <w:tcPr>
            <w:tcW w:w="2700" w:type="dxa"/>
            <w:vMerge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4"/>
                <w:tab w:val="left" w:pos="2519"/>
              </w:tabs>
              <w:spacing w:line="240" w:lineRule="auto"/>
              <w:ind w:left="0" w:right="-15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informativo</w:t>
            </w:r>
            <w:proofErr w:type="gramEnd"/>
            <w:r>
              <w:rPr>
                <w:color w:val="000000"/>
                <w:sz w:val="24"/>
                <w:szCs w:val="24"/>
              </w:rPr>
              <w:tab/>
              <w:t>per</w:t>
            </w:r>
            <w:r>
              <w:rPr>
                <w:color w:val="000000"/>
                <w:sz w:val="24"/>
                <w:szCs w:val="24"/>
              </w:rPr>
              <w:tab/>
              <w:t>la</w:t>
            </w:r>
          </w:p>
        </w:tc>
      </w:tr>
      <w:tr w:rsidR="00405733">
        <w:trPr>
          <w:cantSplit/>
          <w:trHeight w:val="1712"/>
        </w:trPr>
        <w:tc>
          <w:tcPr>
            <w:tcW w:w="1904" w:type="dxa"/>
            <w:tcBorders>
              <w:top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</w:tcBorders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gestione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del magazzino</w:t>
            </w:r>
          </w:p>
        </w:tc>
      </w:tr>
      <w:tr w:rsidR="00405733">
        <w:trPr>
          <w:trHeight w:val="866"/>
        </w:trPr>
        <w:tc>
          <w:tcPr>
            <w:tcW w:w="1904" w:type="dxa"/>
            <w:tcBorders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26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AZIENDALE</w:t>
            </w:r>
          </w:p>
        </w:tc>
        <w:tc>
          <w:tcPr>
            <w:tcW w:w="2475" w:type="dxa"/>
            <w:tcBorders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55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Gestione del magazzino</w:t>
            </w:r>
          </w:p>
        </w:tc>
        <w:tc>
          <w:tcPr>
            <w:tcW w:w="2700" w:type="dxa"/>
            <w:tcBorders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tcBorders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405733">
        <w:trPr>
          <w:trHeight w:val="1448"/>
        </w:trPr>
        <w:tc>
          <w:tcPr>
            <w:tcW w:w="1904" w:type="dxa"/>
            <w:tcBorders>
              <w:top w:val="nil"/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 w:line="240" w:lineRule="auto"/>
              <w:ind w:left="0" w:right="5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INFORMATICA</w:t>
            </w:r>
          </w:p>
        </w:tc>
        <w:tc>
          <w:tcPr>
            <w:tcW w:w="2475" w:type="dxa"/>
            <w:tcBorders>
              <w:top w:val="nil"/>
              <w:bottom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Criteri per la gestione del magazzino attraverso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64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l’utilizzo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del sistema informativo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Individuare e riconoscere la importanza del sistema informativo per la gestione del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magazzino</w:t>
            </w:r>
            <w:proofErr w:type="gramEnd"/>
          </w:p>
        </w:tc>
      </w:tr>
      <w:tr w:rsidR="00405733">
        <w:trPr>
          <w:trHeight w:val="956"/>
        </w:trPr>
        <w:tc>
          <w:tcPr>
            <w:tcW w:w="1904" w:type="dxa"/>
            <w:tcBorders>
              <w:top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nil"/>
            </w:tcBorders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Gestione database</w:t>
            </w:r>
          </w:p>
        </w:tc>
        <w:tc>
          <w:tcPr>
            <w:tcW w:w="2700" w:type="dxa"/>
            <w:tcBorders>
              <w:top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nil"/>
            </w:tcBorders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  <w:sectPr w:rsidR="00405733">
          <w:pgSz w:w="11910" w:h="16840"/>
          <w:pgMar w:top="1120" w:right="980" w:bottom="280" w:left="880" w:header="720" w:footer="720" w:gutter="0"/>
          <w:cols w:space="720"/>
        </w:sect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72" w:after="3" w:line="240" w:lineRule="auto"/>
        <w:ind w:left="0" w:right="1741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CLASSE QUINTA</w:t>
      </w:r>
    </w:p>
    <w:tbl>
      <w:tblPr>
        <w:tblStyle w:val="a3"/>
        <w:tblW w:w="9790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2571"/>
        <w:gridCol w:w="2794"/>
        <w:gridCol w:w="2809"/>
      </w:tblGrid>
      <w:tr w:rsidR="00405733">
        <w:trPr>
          <w:trHeight w:val="868"/>
        </w:trPr>
        <w:tc>
          <w:tcPr>
            <w:tcW w:w="1616" w:type="dxa"/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Discipline</w:t>
            </w:r>
          </w:p>
        </w:tc>
        <w:tc>
          <w:tcPr>
            <w:tcW w:w="2571" w:type="dxa"/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Unità di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296" w:hanging="2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color w:val="000000"/>
                <w:sz w:val="24"/>
                <w:szCs w:val="24"/>
              </w:rPr>
              <w:t>apprendimento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interdisciplinare</w:t>
            </w:r>
          </w:p>
        </w:tc>
        <w:tc>
          <w:tcPr>
            <w:tcW w:w="279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Conoscenze</w:t>
            </w:r>
          </w:p>
        </w:tc>
        <w:tc>
          <w:tcPr>
            <w:tcW w:w="2809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989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Abilità</w:t>
            </w:r>
          </w:p>
        </w:tc>
      </w:tr>
      <w:tr w:rsidR="00405733">
        <w:trPr>
          <w:trHeight w:val="4056"/>
        </w:trPr>
        <w:tc>
          <w:tcPr>
            <w:tcW w:w="161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5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STORIA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6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DIRITTO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7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SPAGNOLO</w:t>
            </w:r>
          </w:p>
        </w:tc>
        <w:tc>
          <w:tcPr>
            <w:tcW w:w="257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8"/>
                <w:tab w:val="left" w:pos="2062"/>
              </w:tabs>
              <w:spacing w:line="240" w:lineRule="auto"/>
              <w:ind w:left="0" w:right="1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nascita</w:t>
            </w:r>
            <w:r>
              <w:rPr>
                <w:color w:val="000000"/>
                <w:sz w:val="24"/>
                <w:szCs w:val="24"/>
              </w:rPr>
              <w:tab/>
              <w:t>della democrazia in Italia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2"/>
              </w:tabs>
              <w:spacing w:before="194" w:line="240" w:lineRule="auto"/>
              <w:ind w:left="0" w:right="-15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Caratteri</w:t>
            </w:r>
            <w:r>
              <w:rPr>
                <w:color w:val="000000"/>
                <w:sz w:val="24"/>
                <w:szCs w:val="24"/>
              </w:rPr>
              <w:tab/>
              <w:t>della Costituzione Italiana e compromesso costituzionale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 la </w:t>
            </w:r>
            <w:proofErr w:type="spellStart"/>
            <w:r>
              <w:rPr>
                <w:color w:val="000000"/>
                <w:sz w:val="24"/>
                <w:szCs w:val="24"/>
              </w:rPr>
              <w:t>dictadura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a la </w:t>
            </w:r>
            <w:proofErr w:type="spellStart"/>
            <w:r>
              <w:rPr>
                <w:color w:val="000000"/>
                <w:sz w:val="24"/>
                <w:szCs w:val="24"/>
              </w:rPr>
              <w:t>democracia</w:t>
            </w:r>
            <w:proofErr w:type="spellEnd"/>
          </w:p>
        </w:tc>
        <w:tc>
          <w:tcPr>
            <w:tcW w:w="279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03"/>
              </w:tabs>
              <w:spacing w:before="192" w:line="240" w:lineRule="auto"/>
              <w:ind w:left="0" w:right="-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 fine della dittatura, il referendum del 1942 e i lavori della Assemblea </w:t>
            </w:r>
            <w:proofErr w:type="gramStart"/>
            <w:r>
              <w:rPr>
                <w:color w:val="000000"/>
                <w:sz w:val="24"/>
                <w:szCs w:val="24"/>
              </w:rPr>
              <w:t>Costituente;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la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6"/>
              </w:tabs>
              <w:spacing w:before="1" w:line="240" w:lineRule="auto"/>
              <w:ind w:left="0" w:right="-15" w:hanging="2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emanazione</w:t>
            </w:r>
            <w:proofErr w:type="gramEnd"/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della Costituzione Italiana</w:t>
            </w:r>
          </w:p>
        </w:tc>
        <w:tc>
          <w:tcPr>
            <w:tcW w:w="2809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2"/>
                <w:tab w:val="left" w:pos="1671"/>
                <w:tab w:val="left" w:pos="2190"/>
              </w:tabs>
              <w:spacing w:line="240" w:lineRule="auto"/>
              <w:ind w:left="0" w:right="-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Comprendere, attraverso la analisi del periodo storico e degli accadimenti politici, i fattori che hanno condizionato le scelte della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Assemblea Costituente.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Saper raffrontare il quadro politico</w:t>
            </w:r>
            <w:r>
              <w:rPr>
                <w:color w:val="000000"/>
                <w:sz w:val="24"/>
                <w:szCs w:val="24"/>
              </w:rPr>
              <w:tab/>
              <w:t>istituzionale italiano dell’ep</w:t>
            </w:r>
            <w:r>
              <w:rPr>
                <w:color w:val="000000"/>
                <w:sz w:val="24"/>
                <w:szCs w:val="24"/>
              </w:rPr>
              <w:t>oca con quello spagnolo.</w:t>
            </w:r>
          </w:p>
        </w:tc>
      </w:tr>
      <w:tr w:rsidR="00405733">
        <w:trPr>
          <w:trHeight w:val="2785"/>
        </w:trPr>
        <w:tc>
          <w:tcPr>
            <w:tcW w:w="1616" w:type="dxa"/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720" w:lineRule="auto"/>
              <w:ind w:left="0" w:right="104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DIRITTO INGLESE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07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SPAGNOLO</w:t>
            </w:r>
          </w:p>
        </w:tc>
        <w:tc>
          <w:tcPr>
            <w:tcW w:w="2571" w:type="dxa"/>
          </w:tcPr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Sistema costituzionale italiano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Sistema costituzionale inglese e americano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 w:line="240" w:lineRule="auto"/>
              <w:ind w:left="0" w:right="26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Sistema costituzionale spagnolo</w:t>
            </w:r>
          </w:p>
        </w:tc>
        <w:tc>
          <w:tcPr>
            <w:tcW w:w="279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8"/>
              </w:tabs>
              <w:spacing w:before="240" w:line="240" w:lineRule="auto"/>
              <w:ind w:left="0" w:right="-15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diversi sistemi costituzionali: repubblica parlamentare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e monarchia parlamentare, confederazione di Stati</w:t>
            </w:r>
          </w:p>
        </w:tc>
        <w:tc>
          <w:tcPr>
            <w:tcW w:w="2809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right="55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Comparare i differenti sistemi costituzionali, anche con riferimento al contesto storico nel quale hanno avuto origine</w:t>
            </w:r>
          </w:p>
        </w:tc>
      </w:tr>
      <w:tr w:rsidR="00405733">
        <w:trPr>
          <w:trHeight w:val="3477"/>
        </w:trPr>
        <w:tc>
          <w:tcPr>
            <w:tcW w:w="161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AZIENDALE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5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SCIENZA DELLE FINANZE</w:t>
            </w:r>
          </w:p>
        </w:tc>
        <w:tc>
          <w:tcPr>
            <w:tcW w:w="257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bilancio delle imprese industriali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6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bilancio dello Stato</w:t>
            </w:r>
          </w:p>
        </w:tc>
        <w:tc>
          <w:tcPr>
            <w:tcW w:w="279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redazione del bilancio industriale e il bilancio consolidato.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 w:line="240" w:lineRule="auto"/>
              <w:ind w:left="0" w:right="2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bilancio dello Stato come bilancio consolidato</w:t>
            </w:r>
          </w:p>
        </w:tc>
        <w:tc>
          <w:tcPr>
            <w:tcW w:w="2809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Interpretare e analizzare le voci di bilancio, differenziando le tecniche di redazione e le regole normative poste alla base del bilancio dello Stato rispetto a quelle del bilancio industriale</w:t>
            </w:r>
          </w:p>
        </w:tc>
      </w:tr>
    </w:tbl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  <w:sectPr w:rsidR="00405733">
          <w:pgSz w:w="11910" w:h="16840"/>
          <w:pgMar w:top="1040" w:right="980" w:bottom="280" w:left="880" w:header="720" w:footer="720" w:gutter="0"/>
          <w:cols w:space="720"/>
        </w:sect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4"/>
          <w:szCs w:val="24"/>
        </w:rPr>
      </w:pPr>
    </w:p>
    <w:tbl>
      <w:tblPr>
        <w:tblStyle w:val="a4"/>
        <w:tblW w:w="9790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2571"/>
        <w:gridCol w:w="2794"/>
        <w:gridCol w:w="2809"/>
      </w:tblGrid>
      <w:tr w:rsidR="00405733">
        <w:trPr>
          <w:trHeight w:val="3187"/>
        </w:trPr>
        <w:tc>
          <w:tcPr>
            <w:tcW w:w="161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40" w:lineRule="auto"/>
              <w:ind w:left="0" w:right="255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SCIENZA DELLE FINANZE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 w:line="240" w:lineRule="auto"/>
              <w:ind w:left="0" w:right="102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AZIENDALE</w:t>
            </w:r>
          </w:p>
        </w:tc>
        <w:tc>
          <w:tcPr>
            <w:tcW w:w="257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 imposte dirette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La determinazione delle imposte dirette</w:t>
            </w:r>
          </w:p>
        </w:tc>
        <w:tc>
          <w:tcPr>
            <w:tcW w:w="279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5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 principali imposte dirette italiane: IRPEF, IRES, IVA.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2" w:line="240" w:lineRule="auto"/>
              <w:ind w:left="0" w:right="341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calcolo delle imposte dirette e l’inserimento delle stesse in bilancio</w:t>
            </w:r>
          </w:p>
        </w:tc>
        <w:tc>
          <w:tcPr>
            <w:tcW w:w="2809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40" w:lineRule="auto"/>
              <w:ind w:left="0" w:right="1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Conoscere e determinare le principali imposte dirette nella differente prospettiva di costo e di entrata</w:t>
            </w:r>
          </w:p>
        </w:tc>
      </w:tr>
      <w:tr w:rsidR="00405733">
        <w:trPr>
          <w:trHeight w:val="4637"/>
        </w:trPr>
        <w:tc>
          <w:tcPr>
            <w:tcW w:w="1616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2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ECONOMIA AZIENDALE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INGLESE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4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SPAGNOLO</w:t>
            </w:r>
          </w:p>
        </w:tc>
        <w:tc>
          <w:tcPr>
            <w:tcW w:w="2571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sistema bancario e la gestione delle banche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487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Banking </w:t>
            </w:r>
            <w:proofErr w:type="spellStart"/>
            <w:r>
              <w:rPr>
                <w:color w:val="000000"/>
                <w:sz w:val="24"/>
                <w:szCs w:val="24"/>
              </w:rPr>
              <w:t>today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ATMs</w:t>
            </w:r>
            <w:proofErr w:type="spellEnd"/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3"/>
                <w:tab w:val="left" w:pos="2372"/>
              </w:tabs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Internet</w:t>
            </w:r>
            <w:r>
              <w:rPr>
                <w:color w:val="000000"/>
                <w:sz w:val="24"/>
                <w:szCs w:val="24"/>
              </w:rPr>
              <w:tab/>
              <w:t>banking</w:t>
            </w:r>
            <w:r>
              <w:rPr>
                <w:color w:val="000000"/>
                <w:sz w:val="24"/>
                <w:szCs w:val="24"/>
              </w:rPr>
              <w:tab/>
              <w:t>in Europe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Los </w:t>
            </w:r>
            <w:proofErr w:type="spellStart"/>
            <w:r>
              <w:rPr>
                <w:color w:val="000000"/>
                <w:sz w:val="24"/>
                <w:szCs w:val="24"/>
              </w:rPr>
              <w:t>bancos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000000"/>
                <w:sz w:val="24"/>
                <w:szCs w:val="24"/>
              </w:rPr>
              <w:t>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banco online</w:t>
            </w:r>
          </w:p>
        </w:tc>
        <w:tc>
          <w:tcPr>
            <w:tcW w:w="2794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9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sistema bancario italiano: sistemi di gestione, funzioni e documenti bancari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sistema bancario</w:t>
            </w: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7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anglosassone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 l’internet banking</w:t>
            </w: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84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 sistema bancario spagnolo e la gestione online</w:t>
            </w:r>
          </w:p>
        </w:tc>
        <w:tc>
          <w:tcPr>
            <w:tcW w:w="2809" w:type="dxa"/>
          </w:tcPr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405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:rsidR="00405733" w:rsidRDefault="002B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Distinguere e analizzare le diverse funzioni delle banche, le loro finalità, raffrontando il sistema italiano con quello anglosassone e spagnolo</w:t>
            </w:r>
          </w:p>
        </w:tc>
      </w:tr>
    </w:tbl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</w:r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4) METODOLOGIA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00" w:line="360" w:lineRule="auto"/>
        <w:ind w:left="0" w:right="15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metodologie di insegnamento sono finalizzate a valorizzare il metodo scientifico e il pensiero operativo; analizzare e risolvere problemi; educare al lavoro cooperativo e per progetti; orientare alla analisi ed al raffronto con i meccanismi e le procedu</w:t>
      </w:r>
      <w:r>
        <w:rPr>
          <w:color w:val="000000"/>
          <w:sz w:val="24"/>
          <w:szCs w:val="24"/>
        </w:rPr>
        <w:t>re adottate in paesi stranieri. Le metodologie educano, inoltre, all’uso di modelli di simulazione e di linguaggi specifici e richiedono un sistematico ricorso alla didattica di laboratorio, in conformità agli obiettivi, ai contenuti dell’apprendimento e a</w:t>
      </w:r>
      <w:r>
        <w:rPr>
          <w:color w:val="000000"/>
          <w:sz w:val="24"/>
          <w:szCs w:val="24"/>
        </w:rPr>
        <w:t>lle esigenze degli studenti, per consentire loro di cogliere concretamente l’interdipendenza tra le diverse discipline apprese nel corso del quinquennio.</w:t>
      </w:r>
    </w:p>
    <w:p w:rsidR="00405733" w:rsidRDefault="002B775A">
      <w:pPr>
        <w:pStyle w:val="Titolo1"/>
        <w:spacing w:before="2"/>
        <w:ind w:left="0" w:hanging="2"/>
      </w:pPr>
      <w:r>
        <w:t>P.C.T.O.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45" w:line="360" w:lineRule="auto"/>
        <w:ind w:left="0" w:right="155" w:hanging="2"/>
        <w:jc w:val="both"/>
        <w:rPr>
          <w:color w:val="000000"/>
          <w:sz w:val="24"/>
          <w:szCs w:val="24"/>
        </w:rPr>
        <w:sectPr w:rsidR="00405733">
          <w:pgSz w:w="11910" w:h="16840"/>
          <w:pgMar w:top="1120" w:right="980" w:bottom="280" w:left="880" w:header="720" w:footer="720" w:gutter="0"/>
          <w:cols w:space="720"/>
        </w:sectPr>
      </w:pPr>
      <w:r>
        <w:rPr>
          <w:color w:val="000000"/>
          <w:sz w:val="24"/>
          <w:szCs w:val="24"/>
        </w:rPr>
        <w:t>L’art. 4 della legge 53/03 del decreto attuativo n° 77 del 2005 e successive mod</w:t>
      </w:r>
      <w:r>
        <w:rPr>
          <w:color w:val="000000"/>
          <w:sz w:val="24"/>
          <w:szCs w:val="24"/>
        </w:rPr>
        <w:t xml:space="preserve">ifiche, prevede come modello di apprendimento alternativo i </w:t>
      </w:r>
      <w:r>
        <w:rPr>
          <w:b/>
          <w:color w:val="000000"/>
          <w:sz w:val="24"/>
          <w:szCs w:val="24"/>
        </w:rPr>
        <w:t xml:space="preserve">Percorsi per le competenze trasversali e l’orientamento, </w:t>
      </w:r>
      <w:r>
        <w:rPr>
          <w:color w:val="000000"/>
          <w:sz w:val="24"/>
          <w:szCs w:val="24"/>
        </w:rPr>
        <w:t xml:space="preserve">che si fondano sull'intreccio tra le scelte educative della scuola, i fabbisogni professionali </w:t>
      </w:r>
      <w:proofErr w:type="gramStart"/>
      <w:r>
        <w:rPr>
          <w:color w:val="000000"/>
          <w:sz w:val="24"/>
          <w:szCs w:val="24"/>
        </w:rPr>
        <w:t>dell' imprese</w:t>
      </w:r>
      <w:proofErr w:type="gramEnd"/>
      <w:r>
        <w:rPr>
          <w:color w:val="000000"/>
          <w:sz w:val="24"/>
          <w:szCs w:val="24"/>
        </w:rPr>
        <w:t xml:space="preserve"> del territorio e </w:t>
      </w:r>
      <w:r>
        <w:rPr>
          <w:sz w:val="24"/>
          <w:szCs w:val="24"/>
        </w:rPr>
        <w:t xml:space="preserve">le personali </w:t>
      </w:r>
      <w:r>
        <w:rPr>
          <w:sz w:val="24"/>
          <w:szCs w:val="24"/>
        </w:rPr>
        <w:t xml:space="preserve">esigenze formative degli studenti. 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74" w:line="360" w:lineRule="auto"/>
        <w:ind w:left="0" w:right="154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E' importante che i discenti acquisiscano, oltre al “sapere”, il “saper fare” per una formazione a diretto contatto con la realtà lavorativa che ha come finalità la trasmissione delle competenze specifiche, spendibili in futuro nel mondo lavorativo. Tali e</w:t>
      </w:r>
      <w:r>
        <w:rPr>
          <w:color w:val="000000"/>
          <w:sz w:val="24"/>
          <w:szCs w:val="24"/>
        </w:rPr>
        <w:t>sperienze, prevedono un periodo di preparazione in classe cui seguiranno stage ed esperienze formative esterne con il supporto di professionisti.</w:t>
      </w:r>
    </w:p>
    <w:p w:rsidR="00405733" w:rsidRDefault="002B775A">
      <w:pPr>
        <w:pStyle w:val="Titolo1"/>
        <w:ind w:left="0" w:hanging="2"/>
      </w:pPr>
      <w:r>
        <w:t>VERTICALIZZAZIONE DELLE ESPERIENZ</w:t>
      </w:r>
      <w:r>
        <w:t>E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45" w:line="360" w:lineRule="auto"/>
        <w:ind w:left="0" w:right="155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eccellenze delle singole classi del triennio terranno una o più lezioni </w:t>
      </w:r>
      <w:r>
        <w:rPr>
          <w:color w:val="000000"/>
          <w:sz w:val="24"/>
          <w:szCs w:val="24"/>
        </w:rPr>
        <w:t xml:space="preserve">frontali in PowerPoint ai ragazzi delle classi inferiori su argomenti pluridisciplinari trattati negli anni precedenti. Verranno altresì impegnate in attività di tutoraggio a vantaggio degli studenti che hanno manifestato carenze formative. </w:t>
      </w:r>
    </w:p>
    <w:p w:rsidR="00405733" w:rsidRDefault="002B775A">
      <w:pPr>
        <w:pStyle w:val="Titolo1"/>
        <w:ind w:left="0" w:hanging="2"/>
      </w:pPr>
      <w:r>
        <w:t>STAGE ESTIVO P</w:t>
      </w:r>
      <w:r>
        <w:t>ER LE ECCELLENZE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45" w:line="360" w:lineRule="auto"/>
        <w:ind w:left="0" w:right="154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Agli allievi della classe terza e quarta che abbiano conseguito nello scrutinio finale una media pari o superiore a 8,00 verrà offerta la possibilità di partecipare a uno stage formativo di una settimana presso aziende o professionisti con</w:t>
      </w:r>
      <w:r>
        <w:rPr>
          <w:color w:val="000000"/>
          <w:sz w:val="24"/>
          <w:szCs w:val="24"/>
        </w:rPr>
        <w:t xml:space="preserve"> certificazione finale riconosciuta come credito formativo esterno per l’anno scolastico </w:t>
      </w:r>
      <w:proofErr w:type="gramStart"/>
      <w:r>
        <w:rPr>
          <w:color w:val="000000"/>
          <w:sz w:val="24"/>
          <w:szCs w:val="24"/>
        </w:rPr>
        <w:t>successivo .</w:t>
      </w:r>
      <w:proofErr w:type="gramEnd"/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45" w:line="360" w:lineRule="auto"/>
        <w:ind w:left="0" w:right="154" w:hanging="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5) STRATEGIE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tabs>
          <w:tab w:val="left" w:pos="9807"/>
        </w:tabs>
        <w:spacing w:before="101" w:line="360" w:lineRule="auto"/>
        <w:ind w:left="0" w:right="15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Pur privilegiando la strategia classica della lezione frontale, la prospettiva interdisciplinare richiede, compatibilmente con i tempi di attuazione delle singole programmazioni disciplinari, la organizzazione di lezioni in </w:t>
      </w:r>
      <w:proofErr w:type="gramStart"/>
      <w:r>
        <w:rPr>
          <w:color w:val="000000"/>
          <w:sz w:val="24"/>
          <w:szCs w:val="24"/>
        </w:rPr>
        <w:t>compresenza ,</w:t>
      </w:r>
      <w:proofErr w:type="gramEnd"/>
      <w:r>
        <w:rPr>
          <w:color w:val="000000"/>
          <w:sz w:val="24"/>
          <w:szCs w:val="24"/>
        </w:rPr>
        <w:t xml:space="preserve"> nonché il frequent</w:t>
      </w:r>
      <w:r>
        <w:rPr>
          <w:color w:val="000000"/>
          <w:sz w:val="24"/>
          <w:szCs w:val="24"/>
        </w:rPr>
        <w:t>e ricorso ai sistemi operativi accessibili nel laboratorio di informatica. Saranno, altresì, utilizzate le LIM anche per la proiezione di film e documentari-reportage in lingua attinenti a tematiche storiche, istituzionali ed economiche.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tabs>
          <w:tab w:val="left" w:pos="9807"/>
        </w:tabs>
        <w:spacing w:before="101" w:line="360" w:lineRule="auto"/>
        <w:ind w:left="0" w:right="150" w:hanging="2"/>
        <w:jc w:val="both"/>
        <w:rPr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tabs>
          <w:tab w:val="left" w:pos="9807"/>
        </w:tabs>
        <w:spacing w:before="101" w:line="360" w:lineRule="auto"/>
        <w:ind w:left="0" w:right="150" w:hanging="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6) STRUMENTI</w:t>
      </w:r>
      <w:r>
        <w:rPr>
          <w:color w:val="000000"/>
          <w:sz w:val="24"/>
          <w:szCs w:val="24"/>
        </w:rPr>
        <w:tab/>
        <w:t>.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tabs>
          <w:tab w:val="left" w:pos="9812"/>
        </w:tabs>
        <w:spacing w:before="101" w:after="3" w:line="360" w:lineRule="auto"/>
        <w:ind w:left="0" w:right="15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</w:t>
      </w:r>
      <w:r>
        <w:rPr>
          <w:color w:val="000000"/>
          <w:sz w:val="24"/>
          <w:szCs w:val="24"/>
        </w:rPr>
        <w:t xml:space="preserve"> principale strumento didattico è rappresentato dai libri di testo, ma è previsto il potenziamento dell’utilizzo di tutti i sistemi informatici e multimediali, grazie soprattutto all’impiego della LIM. Onde potenziare la competenza linguistica generale e s</w:t>
      </w:r>
      <w:r>
        <w:rPr>
          <w:color w:val="000000"/>
          <w:sz w:val="24"/>
          <w:szCs w:val="24"/>
        </w:rPr>
        <w:t xml:space="preserve">ettoriale, verranno, inoltre, proiettati film in lingua scelti tenendo conto anche della idoneità delle tematiche negli stessi trattate a sollecitare la riflessione e il perfezionamento delle </w:t>
      </w:r>
      <w:proofErr w:type="gramStart"/>
      <w:r>
        <w:rPr>
          <w:color w:val="000000"/>
          <w:sz w:val="24"/>
          <w:szCs w:val="24"/>
        </w:rPr>
        <w:t>conoscenze  in</w:t>
      </w:r>
      <w:proofErr w:type="gramEnd"/>
      <w:r>
        <w:rPr>
          <w:color w:val="000000"/>
          <w:sz w:val="24"/>
          <w:szCs w:val="24"/>
        </w:rPr>
        <w:t xml:space="preserve">  ambiti  trasversali.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tabs>
          <w:tab w:val="left" w:pos="9812"/>
        </w:tabs>
        <w:spacing w:before="101" w:after="3" w:line="360" w:lineRule="auto"/>
        <w:ind w:left="0" w:right="152" w:hanging="2"/>
        <w:jc w:val="both"/>
        <w:rPr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tabs>
          <w:tab w:val="left" w:pos="9812"/>
        </w:tabs>
        <w:spacing w:before="101" w:after="3" w:line="360" w:lineRule="auto"/>
        <w:ind w:left="0" w:right="152" w:hanging="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7) CRITERI DI VALUTAZIONE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.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  <w:sectPr w:rsidR="00405733">
          <w:pgSz w:w="11910" w:h="16840"/>
          <w:pgMar w:top="1040" w:right="980" w:bottom="280" w:left="880" w:header="720" w:footer="720" w:gutter="0"/>
          <w:cols w:space="720"/>
        </w:sect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76" w:line="360" w:lineRule="auto"/>
        <w:ind w:left="0" w:right="153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Per le metodologie e le modalità di verifica e di valutazione si fa riferimento alle programmazioni disciplinari specifiche ed alle relative griglie di valutazione alle stesse allegate, </w:t>
      </w:r>
      <w:bookmarkStart w:id="1" w:name="_GoBack"/>
      <w:bookmarkEnd w:id="1"/>
      <w:r>
        <w:rPr>
          <w:color w:val="000000"/>
          <w:sz w:val="24"/>
          <w:szCs w:val="24"/>
        </w:rPr>
        <w:t>nonché ai criteri stabiliti dal Collegio dei Docenti.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before="76" w:line="360" w:lineRule="auto"/>
        <w:ind w:left="0" w:right="153" w:hanging="2"/>
        <w:jc w:val="both"/>
        <w:rPr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76" w:line="360" w:lineRule="auto"/>
        <w:ind w:left="0" w:right="153" w:hanging="2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8) ATTIVITA’ DIDATTICHE INTEGRATIVE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101" w:line="360" w:lineRule="auto"/>
        <w:ind w:left="0" w:right="151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attività di recupero verranno organizzate in orario curricolare ed extracurricolare. Laddove possibile, i docenti delle diverse discipline collaboreranno per rendere più efficace l’apprendimento di argomenti le cui conoscenze risultino lacunose, privile</w:t>
      </w:r>
      <w:r>
        <w:rPr>
          <w:color w:val="000000"/>
          <w:sz w:val="24"/>
          <w:szCs w:val="24"/>
        </w:rPr>
        <w:t xml:space="preserve">giando alcuni insegnanti il recupero delle nozioni teoriche ed altri la applicazione pratica delle </w:t>
      </w:r>
      <w:proofErr w:type="gramStart"/>
      <w:r>
        <w:rPr>
          <w:color w:val="000000"/>
          <w:sz w:val="24"/>
          <w:szCs w:val="24"/>
        </w:rPr>
        <w:t>stesse .</w:t>
      </w:r>
      <w:proofErr w:type="gramEnd"/>
      <w:r>
        <w:rPr>
          <w:color w:val="000000"/>
          <w:sz w:val="24"/>
          <w:szCs w:val="24"/>
        </w:rPr>
        <w:t xml:space="preserve"> Per le discipline applicative verranno strutturati, in orario extracurriculare ed eventualmente da remoto, corsi di potenziamento per gruppi.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ind w:left="0" w:right="111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Attivi</w:t>
      </w:r>
      <w:r>
        <w:rPr>
          <w:b/>
          <w:color w:val="000000"/>
          <w:sz w:val="24"/>
          <w:szCs w:val="24"/>
        </w:rPr>
        <w:t xml:space="preserve">tà per lo sviluppo di competenze: </w:t>
      </w:r>
      <w:r>
        <w:rPr>
          <w:color w:val="000000"/>
          <w:sz w:val="24"/>
          <w:szCs w:val="24"/>
        </w:rPr>
        <w:t xml:space="preserve">utilizzo del software di contabilità “Data Base” al fine di consolidare le competenze informatiche acquisite mediante l’applicazione delle stesse nell’attività contabile. </w:t>
      </w: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ind w:left="0" w:right="111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secondo biennio e al quinto anno, sarà dedicato</w:t>
      </w:r>
      <w:r>
        <w:rPr>
          <w:color w:val="000000"/>
          <w:sz w:val="24"/>
          <w:szCs w:val="24"/>
        </w:rPr>
        <w:t xml:space="preserve"> il 5% del monte ore totale di Diritto ed Economia politica allo svolgimento di attività per il potenziamento delle abilità informatiche in campo giuridico - economico, con modalità e scansione dei tempi a discrezione del docente.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tabs>
          <w:tab w:val="left" w:pos="954"/>
        </w:tabs>
        <w:spacing w:line="360" w:lineRule="auto"/>
        <w:ind w:left="0" w:right="111" w:hanging="2"/>
        <w:jc w:val="both"/>
        <w:rPr>
          <w:sz w:val="24"/>
          <w:szCs w:val="24"/>
        </w:rPr>
      </w:pPr>
    </w:p>
    <w:p w:rsidR="00405733" w:rsidRDefault="002B775A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9) PROPOSTE PER LA UTILIZZAZIONE DELLE 70 ORE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</w:rPr>
      </w:pPr>
    </w:p>
    <w:p w:rsidR="00405733" w:rsidRDefault="002B775A">
      <w:pPr>
        <w:pBdr>
          <w:top w:val="nil"/>
          <w:left w:val="nil"/>
          <w:bottom w:val="nil"/>
          <w:right w:val="nil"/>
          <w:between w:val="nil"/>
        </w:pBdr>
        <w:spacing w:before="231" w:line="360" w:lineRule="auto"/>
        <w:ind w:left="0" w:right="154" w:hanging="2"/>
        <w:jc w:val="both"/>
        <w:rPr>
          <w:color w:val="000000"/>
          <w:sz w:val="24"/>
          <w:szCs w:val="24"/>
        </w:rPr>
        <w:sectPr w:rsidR="00405733">
          <w:pgSz w:w="11910" w:h="16840"/>
          <w:pgMar w:top="1320" w:right="1020" w:bottom="920" w:left="900" w:header="0" w:footer="734" w:gutter="0"/>
          <w:cols w:space="720"/>
        </w:sectPr>
      </w:pPr>
      <w:r>
        <w:rPr>
          <w:color w:val="000000"/>
          <w:sz w:val="24"/>
          <w:szCs w:val="24"/>
        </w:rPr>
        <w:t>Oltre che alle attività di recupero e potenziamento di cui al punto precedente, le 70 ore verranno impiegate per la organizzazione degli stage realizzati nell’ambito dei P.C.T.O, in particolar</w:t>
      </w:r>
      <w:r>
        <w:rPr>
          <w:color w:val="000000"/>
          <w:sz w:val="24"/>
          <w:szCs w:val="24"/>
        </w:rPr>
        <w:t>e per contattare gli studi, organizzare il lavoro esterno e predisporre il materiale necessario. Sarà inoltre necessario seguire in orario extracurriculare gli allievi impegnati nella attività di verticalizzazione.</w:t>
      </w: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before="101" w:line="360" w:lineRule="auto"/>
        <w:ind w:left="0" w:right="151" w:hanging="2"/>
        <w:jc w:val="both"/>
        <w:rPr>
          <w:color w:val="FF0000"/>
          <w:sz w:val="24"/>
          <w:szCs w:val="24"/>
        </w:rPr>
      </w:pPr>
    </w:p>
    <w:p w:rsidR="00405733" w:rsidRDefault="00405733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0" w:hanging="2"/>
        <w:rPr>
          <w:color w:val="000000"/>
          <w:sz w:val="24"/>
          <w:szCs w:val="24"/>
        </w:rPr>
      </w:pPr>
    </w:p>
    <w:sectPr w:rsidR="00405733">
      <w:pgSz w:w="11910" w:h="16840"/>
      <w:pgMar w:top="158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67ABA"/>
    <w:multiLevelType w:val="multilevel"/>
    <w:tmpl w:val="E5965DB0"/>
    <w:lvl w:ilvl="0">
      <w:numFmt w:val="bullet"/>
      <w:lvlText w:val="-"/>
      <w:lvlJc w:val="left"/>
      <w:pPr>
        <w:ind w:left="252" w:hanging="183"/>
      </w:pPr>
      <w:rPr>
        <w:rFonts w:ascii="Tahoma" w:eastAsia="Tahoma" w:hAnsi="Tahoma" w:cs="Tahoma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238" w:hanging="183"/>
      </w:pPr>
      <w:rPr>
        <w:vertAlign w:val="baseline"/>
      </w:rPr>
    </w:lvl>
    <w:lvl w:ilvl="2">
      <w:numFmt w:val="bullet"/>
      <w:lvlText w:val="•"/>
      <w:lvlJc w:val="left"/>
      <w:pPr>
        <w:ind w:left="2217" w:hanging="183"/>
      </w:pPr>
      <w:rPr>
        <w:vertAlign w:val="baseline"/>
      </w:rPr>
    </w:lvl>
    <w:lvl w:ilvl="3">
      <w:numFmt w:val="bullet"/>
      <w:lvlText w:val="•"/>
      <w:lvlJc w:val="left"/>
      <w:pPr>
        <w:ind w:left="3195" w:hanging="183"/>
      </w:pPr>
      <w:rPr>
        <w:vertAlign w:val="baseline"/>
      </w:rPr>
    </w:lvl>
    <w:lvl w:ilvl="4">
      <w:numFmt w:val="bullet"/>
      <w:lvlText w:val="•"/>
      <w:lvlJc w:val="left"/>
      <w:pPr>
        <w:ind w:left="4174" w:hanging="183"/>
      </w:pPr>
      <w:rPr>
        <w:vertAlign w:val="baseline"/>
      </w:rPr>
    </w:lvl>
    <w:lvl w:ilvl="5">
      <w:numFmt w:val="bullet"/>
      <w:lvlText w:val="•"/>
      <w:lvlJc w:val="left"/>
      <w:pPr>
        <w:ind w:left="5153" w:hanging="183"/>
      </w:pPr>
      <w:rPr>
        <w:vertAlign w:val="baseline"/>
      </w:rPr>
    </w:lvl>
    <w:lvl w:ilvl="6">
      <w:numFmt w:val="bullet"/>
      <w:lvlText w:val="•"/>
      <w:lvlJc w:val="left"/>
      <w:pPr>
        <w:ind w:left="6131" w:hanging="182"/>
      </w:pPr>
      <w:rPr>
        <w:vertAlign w:val="baseline"/>
      </w:rPr>
    </w:lvl>
    <w:lvl w:ilvl="7">
      <w:numFmt w:val="bullet"/>
      <w:lvlText w:val="•"/>
      <w:lvlJc w:val="left"/>
      <w:pPr>
        <w:ind w:left="7110" w:hanging="183"/>
      </w:pPr>
      <w:rPr>
        <w:vertAlign w:val="baseline"/>
      </w:rPr>
    </w:lvl>
    <w:lvl w:ilvl="8">
      <w:numFmt w:val="bullet"/>
      <w:lvlText w:val="•"/>
      <w:lvlJc w:val="left"/>
      <w:pPr>
        <w:ind w:left="8089" w:hanging="183"/>
      </w:pPr>
      <w:rPr>
        <w:vertAlign w:val="baseline"/>
      </w:rPr>
    </w:lvl>
  </w:abstractNum>
  <w:abstractNum w:abstractNumId="1">
    <w:nsid w:val="28504F3F"/>
    <w:multiLevelType w:val="multilevel"/>
    <w:tmpl w:val="B0147200"/>
    <w:lvl w:ilvl="0">
      <w:numFmt w:val="bullet"/>
      <w:lvlText w:val="-"/>
      <w:lvlJc w:val="left"/>
      <w:pPr>
        <w:ind w:left="252" w:hanging="709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238" w:hanging="709"/>
      </w:pPr>
      <w:rPr>
        <w:vertAlign w:val="baseline"/>
      </w:rPr>
    </w:lvl>
    <w:lvl w:ilvl="2">
      <w:numFmt w:val="bullet"/>
      <w:lvlText w:val="•"/>
      <w:lvlJc w:val="left"/>
      <w:pPr>
        <w:ind w:left="2217" w:hanging="709"/>
      </w:pPr>
      <w:rPr>
        <w:vertAlign w:val="baseline"/>
      </w:rPr>
    </w:lvl>
    <w:lvl w:ilvl="3">
      <w:numFmt w:val="bullet"/>
      <w:lvlText w:val="•"/>
      <w:lvlJc w:val="left"/>
      <w:pPr>
        <w:ind w:left="3195" w:hanging="709"/>
      </w:pPr>
      <w:rPr>
        <w:vertAlign w:val="baseline"/>
      </w:rPr>
    </w:lvl>
    <w:lvl w:ilvl="4">
      <w:numFmt w:val="bullet"/>
      <w:lvlText w:val="•"/>
      <w:lvlJc w:val="left"/>
      <w:pPr>
        <w:ind w:left="4174" w:hanging="709"/>
      </w:pPr>
      <w:rPr>
        <w:vertAlign w:val="baseline"/>
      </w:rPr>
    </w:lvl>
    <w:lvl w:ilvl="5">
      <w:numFmt w:val="bullet"/>
      <w:lvlText w:val="•"/>
      <w:lvlJc w:val="left"/>
      <w:pPr>
        <w:ind w:left="5153" w:hanging="709"/>
      </w:pPr>
      <w:rPr>
        <w:vertAlign w:val="baseline"/>
      </w:rPr>
    </w:lvl>
    <w:lvl w:ilvl="6">
      <w:numFmt w:val="bullet"/>
      <w:lvlText w:val="•"/>
      <w:lvlJc w:val="left"/>
      <w:pPr>
        <w:ind w:left="6131" w:hanging="709"/>
      </w:pPr>
      <w:rPr>
        <w:vertAlign w:val="baseline"/>
      </w:rPr>
    </w:lvl>
    <w:lvl w:ilvl="7">
      <w:numFmt w:val="bullet"/>
      <w:lvlText w:val="•"/>
      <w:lvlJc w:val="left"/>
      <w:pPr>
        <w:ind w:left="7110" w:hanging="709"/>
      </w:pPr>
      <w:rPr>
        <w:vertAlign w:val="baseline"/>
      </w:rPr>
    </w:lvl>
    <w:lvl w:ilvl="8">
      <w:numFmt w:val="bullet"/>
      <w:lvlText w:val="•"/>
      <w:lvlJc w:val="left"/>
      <w:pPr>
        <w:ind w:left="8089" w:hanging="709"/>
      </w:pPr>
      <w:rPr>
        <w:vertAlign w:val="baseline"/>
      </w:rPr>
    </w:lvl>
  </w:abstractNum>
  <w:abstractNum w:abstractNumId="2">
    <w:nsid w:val="4845552F"/>
    <w:multiLevelType w:val="multilevel"/>
    <w:tmpl w:val="71E82B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7BE42D8C"/>
    <w:multiLevelType w:val="multilevel"/>
    <w:tmpl w:val="01B60C58"/>
    <w:lvl w:ilvl="0">
      <w:numFmt w:val="bullet"/>
      <w:lvlText w:val="-"/>
      <w:lvlJc w:val="left"/>
      <w:pPr>
        <w:ind w:left="252" w:hanging="195"/>
      </w:pPr>
      <w:rPr>
        <w:rFonts w:ascii="Tahoma" w:eastAsia="Tahoma" w:hAnsi="Tahoma" w:cs="Tahoma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238" w:hanging="195"/>
      </w:pPr>
      <w:rPr>
        <w:vertAlign w:val="baseline"/>
      </w:rPr>
    </w:lvl>
    <w:lvl w:ilvl="2">
      <w:numFmt w:val="bullet"/>
      <w:lvlText w:val="•"/>
      <w:lvlJc w:val="left"/>
      <w:pPr>
        <w:ind w:left="2217" w:hanging="195"/>
      </w:pPr>
      <w:rPr>
        <w:vertAlign w:val="baseline"/>
      </w:rPr>
    </w:lvl>
    <w:lvl w:ilvl="3">
      <w:numFmt w:val="bullet"/>
      <w:lvlText w:val="•"/>
      <w:lvlJc w:val="left"/>
      <w:pPr>
        <w:ind w:left="3195" w:hanging="195"/>
      </w:pPr>
      <w:rPr>
        <w:vertAlign w:val="baseline"/>
      </w:rPr>
    </w:lvl>
    <w:lvl w:ilvl="4">
      <w:numFmt w:val="bullet"/>
      <w:lvlText w:val="•"/>
      <w:lvlJc w:val="left"/>
      <w:pPr>
        <w:ind w:left="4174" w:hanging="195"/>
      </w:pPr>
      <w:rPr>
        <w:vertAlign w:val="baseline"/>
      </w:rPr>
    </w:lvl>
    <w:lvl w:ilvl="5">
      <w:numFmt w:val="bullet"/>
      <w:lvlText w:val="•"/>
      <w:lvlJc w:val="left"/>
      <w:pPr>
        <w:ind w:left="5153" w:hanging="195"/>
      </w:pPr>
      <w:rPr>
        <w:vertAlign w:val="baseline"/>
      </w:rPr>
    </w:lvl>
    <w:lvl w:ilvl="6">
      <w:numFmt w:val="bullet"/>
      <w:lvlText w:val="•"/>
      <w:lvlJc w:val="left"/>
      <w:pPr>
        <w:ind w:left="6131" w:hanging="195"/>
      </w:pPr>
      <w:rPr>
        <w:vertAlign w:val="baseline"/>
      </w:rPr>
    </w:lvl>
    <w:lvl w:ilvl="7">
      <w:numFmt w:val="bullet"/>
      <w:lvlText w:val="•"/>
      <w:lvlJc w:val="left"/>
      <w:pPr>
        <w:ind w:left="7110" w:hanging="195"/>
      </w:pPr>
      <w:rPr>
        <w:vertAlign w:val="baseline"/>
      </w:rPr>
    </w:lvl>
    <w:lvl w:ilvl="8">
      <w:numFmt w:val="bullet"/>
      <w:lvlText w:val="•"/>
      <w:lvlJc w:val="left"/>
      <w:pPr>
        <w:ind w:left="8089" w:hanging="195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33"/>
    <w:rsid w:val="002B775A"/>
    <w:rsid w:val="0040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999C1-0773-46D7-AC93-B5D27E35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Tahoma" w:hAnsi="Tahoma" w:cs="Tahoma"/>
      <w:position w:val="-1"/>
      <w:sz w:val="22"/>
      <w:szCs w:val="22"/>
      <w:lang w:bidi="it-IT"/>
    </w:rPr>
  </w:style>
  <w:style w:type="paragraph" w:styleId="Titolo1">
    <w:name w:val="heading 1"/>
    <w:basedOn w:val="Normale"/>
    <w:pPr>
      <w:ind w:left="1838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4"/>
      <w:szCs w:val="24"/>
    </w:rPr>
  </w:style>
  <w:style w:type="paragraph" w:customStyle="1" w:styleId="Elencoacolori-Colore11">
    <w:name w:val="Elenco a colori - Colore 11"/>
    <w:basedOn w:val="Normale"/>
    <w:pPr>
      <w:ind w:left="252" w:right="157"/>
      <w:jc w:val="both"/>
    </w:pPr>
  </w:style>
  <w:style w:type="paragraph" w:customStyle="1" w:styleId="TableParagraph">
    <w:name w:val="Table Paragraph"/>
    <w:basedOn w:val="Normale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SxEJhJHnln6pZkzkf1lBsebKQ==">CgMxLjAyCGguZ2pkZ3hzOAByITEtQnFfQkRYaXBqaU0yR2xsNUhzUGk0a3hjT3ZlM21mUA==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2865</Words>
  <Characters>16335</Characters>
  <Application>Microsoft Office Word</Application>
  <DocSecurity>0</DocSecurity>
  <Lines>136</Lines>
  <Paragraphs>38</Paragraphs>
  <ScaleCrop>false</ScaleCrop>
  <Company/>
  <LinksUpToDate>false</LinksUpToDate>
  <CharactersWithSpaces>19162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Domenico Sassone</dc:creator>
  <cp:lastModifiedBy>Utente</cp:lastModifiedBy>
  <cp:revision>2</cp:revision>
  <dcterms:created xsi:type="dcterms:W3CDTF">2023-10-06T07:48:00Z</dcterms:created>
  <dcterms:modified xsi:type="dcterms:W3CDTF">2023-10-26T08:12:00Z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2018-09-05T00:00:00Z</vt:filetime>
  </property>
</Properties>
</file>