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258" w:rsidRDefault="00253258">
      <w:pPr>
        <w:pStyle w:val="Titolo1"/>
        <w:spacing w:before="71"/>
        <w:ind w:left="0" w:hanging="2"/>
        <w:rPr>
          <w:rFonts w:ascii="Arial" w:eastAsia="Arial" w:hAnsi="Arial" w:cs="Arial"/>
        </w:rPr>
      </w:pPr>
    </w:p>
    <w:p w:rsidR="00253258" w:rsidRDefault="00253258">
      <w:pPr>
        <w:pStyle w:val="Titolo1"/>
        <w:spacing w:before="71"/>
        <w:ind w:left="0" w:hanging="2"/>
        <w:rPr>
          <w:rFonts w:ascii="Arial" w:eastAsia="Arial" w:hAnsi="Arial" w:cs="Arial"/>
        </w:rPr>
      </w:pPr>
    </w:p>
    <w:p w:rsidR="00253258" w:rsidRDefault="0062696C">
      <w:pPr>
        <w:pStyle w:val="Titolo1"/>
        <w:spacing w:before="71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ISTITUTO </w:t>
      </w:r>
      <w:proofErr w:type="gramStart"/>
      <w:r>
        <w:rPr>
          <w:rFonts w:ascii="Arial" w:eastAsia="Arial" w:hAnsi="Arial" w:cs="Arial"/>
        </w:rPr>
        <w:t>SALESIANO ”</w:t>
      </w:r>
      <w:proofErr w:type="gramEnd"/>
      <w:r>
        <w:rPr>
          <w:rFonts w:ascii="Arial" w:eastAsia="Arial" w:hAnsi="Arial" w:cs="Arial"/>
        </w:rPr>
        <w:t xml:space="preserve"> SACRO CUORE “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225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IT AMMINISTRAZIONE FINANZA E MARKETING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237" w:line="240" w:lineRule="auto"/>
        <w:ind w:left="0" w:right="1745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ANNO SCOLASTICO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pStyle w:val="Titolo1"/>
        <w:ind w:left="0" w:right="174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2023-2024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242" w:line="480" w:lineRule="auto"/>
        <w:ind w:left="0" w:right="2225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PROGRAMMAZIONE INTERDISCIPLINARE BIENNIO</w:t>
      </w: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4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AREA TECNICO-SCIENTIFICA E GIURIDICO-ECONOMICA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0" w:right="1745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DISCIPLINE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MATEMATICA - ECONOMIA AZIENDALE – INFORMATICA – DIRITTO ED ECONOMIA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pStyle w:val="Titolo1"/>
        <w:spacing w:line="48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Prof.    Maria Simona </w:t>
      </w:r>
      <w:proofErr w:type="spellStart"/>
      <w:r>
        <w:rPr>
          <w:rFonts w:ascii="Arial" w:eastAsia="Arial" w:hAnsi="Arial" w:cs="Arial"/>
        </w:rPr>
        <w:t>Abbiento</w:t>
      </w:r>
      <w:proofErr w:type="spellEnd"/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145" w:line="480" w:lineRule="auto"/>
        <w:ind w:left="0" w:right="5661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Prof. Natale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Bruzzaniti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Prof.    Giulia     </w:t>
      </w: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Ruggiero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145" w:line="480" w:lineRule="auto"/>
        <w:ind w:left="0" w:right="5661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Prof.    Fulvia Sassone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  <w:sectPr w:rsidR="00253258">
          <w:pgSz w:w="11910" w:h="16840"/>
          <w:pgMar w:top="1480" w:right="980" w:bottom="280" w:left="880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253258" w:rsidRDefault="006269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OBIETTIVI GENERALI TRASVERSALI ALLE VARIE DISCIPLINE</w:t>
      </w: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ind w:left="0" w:right="15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L’Istituto Tecnico del settore economico, con particolare riferimento all’indirizzo Amministrazione, Finanza e Marketing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, ,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forma, come esplicitato nelle indicazioni nazionali per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la scuola secondaria, un profilo che si caratterizza per la cultura tecnico-economica riferita ad ampie aree: l’economia, l’amministrazione delle imprese, la finanza, il  marketing.</w:t>
      </w: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53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Gli studenti, a conclusione del percorso di studio, conoscono le tematiche relative ai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macrofenomeni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economico-aziendali, nazionali ed internazionali, alla normativa civilistica e fiscale, ai sistemi aziendali, anche con riferimento alla previsione, organi</w:t>
      </w:r>
      <w:r>
        <w:rPr>
          <w:rFonts w:ascii="Arial" w:eastAsia="Arial" w:hAnsi="Arial" w:cs="Arial"/>
          <w:color w:val="000000"/>
          <w:sz w:val="24"/>
          <w:szCs w:val="24"/>
        </w:rPr>
        <w:t>zzazione, conduzione e controllo della gestione, agli strumenti di marketing.</w:t>
      </w: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5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 completamento del corso di studi, gli studenti - attraverso lo studio, le esperienze operative di laboratorio e in contesti reali, la disponibilità al confronto e al lavoro co</w:t>
      </w:r>
      <w:r>
        <w:rPr>
          <w:rFonts w:ascii="Arial" w:eastAsia="Arial" w:hAnsi="Arial" w:cs="Arial"/>
          <w:color w:val="000000"/>
          <w:sz w:val="24"/>
          <w:szCs w:val="24"/>
        </w:rPr>
        <w:t>operativo, la valorizzazione della loro creatività ed autonomia – sono in grado di:</w:t>
      </w:r>
    </w:p>
    <w:p w:rsidR="00253258" w:rsidRDefault="006269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line="360" w:lineRule="auto"/>
        <w:ind w:left="0" w:right="154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agire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in base ad un sistema di valori coerenti con i principi della Costituzione, a partire dai quali saper valutare fatti e ispirare i propri comportamenti personali e soc</w:t>
      </w:r>
      <w:r>
        <w:rPr>
          <w:rFonts w:ascii="Arial" w:eastAsia="Arial" w:hAnsi="Arial" w:cs="Arial"/>
          <w:color w:val="000000"/>
          <w:sz w:val="24"/>
          <w:szCs w:val="24"/>
        </w:rPr>
        <w:t>iali;</w:t>
      </w:r>
    </w:p>
    <w:p w:rsidR="00253258" w:rsidRDefault="006269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line="360" w:lineRule="auto"/>
        <w:ind w:left="0" w:right="15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utilizzare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gli strumenti culturali e metodologici acquisiti per porsi con atteggiamento razionale, critico e responsabile di fronte alla realtà, ai suoi fenomeni e ai suoi problemi;</w:t>
      </w:r>
    </w:p>
    <w:p w:rsidR="00253258" w:rsidRDefault="006269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7"/>
        </w:tabs>
        <w:spacing w:line="362" w:lineRule="auto"/>
        <w:ind w:left="0" w:right="16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padroneggiare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il patrimonio lessicale ed espressivo della lingua italiana secondo le esigenze comunicative nei vari contesti: sociali, culturali, scientifici, economici, tecnologici;</w:t>
      </w: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ab/>
        <w:t>orientarsi agevolmente, anche attraverso la acquisizione e la metaboliz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zazione del linguaggio tecnico specifico, fra testi e autori fondamentali, con riferimento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sopratutto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tematiche di tipo scientifico, tecnologico ed economico;</w:t>
      </w:r>
    </w:p>
    <w:p w:rsidR="00253258" w:rsidRDefault="006269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</w:tabs>
        <w:spacing w:line="360" w:lineRule="auto"/>
        <w:ind w:left="0" w:right="156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analizzare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la realtà e i fatti concreti della vita quotidiana ed elaborare generalizzazioni che aiutino a spiegare i comportamenti individuali e collettivi in chiave economica;</w:t>
      </w:r>
    </w:p>
    <w:p w:rsidR="00253258" w:rsidRDefault="006269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31"/>
        </w:tabs>
        <w:spacing w:line="360" w:lineRule="auto"/>
        <w:ind w:left="0" w:right="148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riconoscere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la varietà e lo sviluppo storico delle forme economiche, sociali e </w:t>
      </w:r>
      <w:r>
        <w:rPr>
          <w:rFonts w:ascii="Arial" w:eastAsia="Arial" w:hAnsi="Arial" w:cs="Arial"/>
          <w:color w:val="000000"/>
          <w:sz w:val="24"/>
          <w:szCs w:val="24"/>
        </w:rPr>
        <w:t>istituzionali attraverso le categorie di sintesi fornite dall’economia e dal diritto;</w:t>
      </w:r>
    </w:p>
    <w:p w:rsidR="00253258" w:rsidRDefault="006269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6"/>
        </w:tabs>
        <w:spacing w:line="360" w:lineRule="auto"/>
        <w:ind w:left="0" w:right="159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riconoscere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l’interdipendenza tra fenomeni economici, sociali, istituzionali, culturali e la loro dimensione locale/globale;</w:t>
      </w:r>
    </w:p>
    <w:p w:rsidR="00253258" w:rsidRDefault="006269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8"/>
        </w:tabs>
        <w:spacing w:line="360" w:lineRule="auto"/>
        <w:ind w:left="0" w:right="15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analizzare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, con l’ausilio di strumenti matematici e informatici, i fenomeni economici e sociali;</w:t>
      </w:r>
    </w:p>
    <w:p w:rsidR="00253258" w:rsidRDefault="006269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89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  <w:sectPr w:rsidR="00253258">
          <w:pgSz w:w="11910" w:h="16840"/>
          <w:pgMar w:top="1120" w:right="980" w:bottom="280" w:left="880" w:header="720" w:footer="720" w:gutter="0"/>
          <w:cols w:space="720"/>
        </w:sect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orientarsi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nella normativa pubblicistica, civilistica e fiscale;</w:t>
      </w:r>
    </w:p>
    <w:p w:rsidR="00253258" w:rsidRDefault="006269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74" w:line="360" w:lineRule="auto"/>
        <w:ind w:left="0" w:right="156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lastRenderedPageBreak/>
        <w:t>intervenire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nei sistemi aziendali con riferimento a previsione, organizzazione, c</w:t>
      </w:r>
      <w:r>
        <w:rPr>
          <w:rFonts w:ascii="Arial" w:eastAsia="Arial" w:hAnsi="Arial" w:cs="Arial"/>
          <w:color w:val="000000"/>
          <w:sz w:val="24"/>
          <w:szCs w:val="24"/>
        </w:rPr>
        <w:t>onduzione e controllo di gestione;</w:t>
      </w:r>
    </w:p>
    <w:p w:rsidR="00253258" w:rsidRDefault="006269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  <w:tab w:val="left" w:pos="103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utilizzare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gli strumenti di marketing in differenti casi e contesti;</w:t>
      </w:r>
    </w:p>
    <w:p w:rsidR="00253258" w:rsidRDefault="006269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143" w:line="357" w:lineRule="auto"/>
        <w:ind w:left="0" w:right="15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distinguere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e valutare i prodotti e i servizi aziendali, effettuando calcoli di convenienza per individuare soluzioni ottimali;</w:t>
      </w:r>
    </w:p>
    <w:p w:rsidR="00253258" w:rsidRDefault="006269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3" w:line="357" w:lineRule="auto"/>
        <w:ind w:left="0" w:right="15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agire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nel sistema informativo dell’azienda e contribuire sia alla sua innovazione sia al suo adeguamento organizzativo e tecnologico;</w:t>
      </w:r>
    </w:p>
    <w:p w:rsidR="00253258" w:rsidRDefault="006269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3" w:line="357" w:lineRule="auto"/>
        <w:ind w:left="0" w:right="15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elaborare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, interpretare e rappresentare efficacemente dati aziendali con il ricorso a strumenti informatici e software gestionali;</w:t>
      </w:r>
    </w:p>
    <w:p w:rsidR="00253258" w:rsidRDefault="006269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3" w:line="357" w:lineRule="auto"/>
        <w:ind w:left="0" w:right="153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analizzare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i problemi scientifici, etici, giuridici e sociali connessi agli strumenti impiegati nella programmazione e gestio</w:t>
      </w:r>
      <w:r>
        <w:rPr>
          <w:rFonts w:ascii="Arial" w:eastAsia="Arial" w:hAnsi="Arial" w:cs="Arial"/>
          <w:color w:val="000000"/>
          <w:sz w:val="24"/>
          <w:szCs w:val="24"/>
        </w:rPr>
        <w:t>ne aziendale.</w:t>
      </w:r>
    </w:p>
    <w:p w:rsidR="00253258" w:rsidRDefault="006269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  <w:tab w:val="left" w:pos="1036"/>
        </w:tabs>
        <w:spacing w:before="4" w:line="357" w:lineRule="auto"/>
        <w:ind w:left="0" w:right="15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riconoscere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gli aspetti geografici, ecologici, territoriali, dell’ambiente naturale ed antropico, le connessioni con le strutture demografiche, economiche, sociali, culturali e le trasformazioni intervenute nel corso del tempo;</w:t>
      </w:r>
    </w:p>
    <w:p w:rsidR="00253258" w:rsidRDefault="006269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6" w:line="357" w:lineRule="auto"/>
        <w:ind w:left="0" w:right="15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utilizzare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i linguaggi settoriali delle lingue straniere previste dai percorsi di studio per interagire in diversi ambiti e contesti di studio e di lavoro;</w:t>
      </w:r>
    </w:p>
    <w:p w:rsidR="00253258" w:rsidRDefault="006269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3" w:line="357" w:lineRule="auto"/>
        <w:ind w:left="0" w:right="15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individuare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ed utilizzare le moderne forme di comunicazione visiva e multimediale, anche con riferim</w:t>
      </w:r>
      <w:r>
        <w:rPr>
          <w:rFonts w:ascii="Arial" w:eastAsia="Arial" w:hAnsi="Arial" w:cs="Arial"/>
          <w:color w:val="000000"/>
          <w:sz w:val="24"/>
          <w:szCs w:val="24"/>
        </w:rPr>
        <w:t>ento alle strategie espressive e agli strumenti tecnici della comunicazione in rete;</w:t>
      </w:r>
    </w:p>
    <w:p w:rsidR="00253258" w:rsidRDefault="006269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  <w:tab w:val="left" w:pos="1111"/>
        </w:tabs>
        <w:spacing w:before="9" w:line="357" w:lineRule="auto"/>
        <w:ind w:left="0" w:right="15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utilizzare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modelli appropriati per investigare su fenomeni e interpretare dati sperimentali;</w:t>
      </w:r>
    </w:p>
    <w:p w:rsidR="00253258" w:rsidRDefault="006269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3" w:line="357" w:lineRule="auto"/>
        <w:ind w:left="0" w:right="15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riconoscere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, nei diversi campi disciplinari studiati, i criteri scientifici di affidabilità delle conoscenze e delle conclusioni che vi afferiscono;</w:t>
      </w:r>
    </w:p>
    <w:p w:rsidR="00253258" w:rsidRDefault="006269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3" w:line="357" w:lineRule="auto"/>
        <w:ind w:left="0" w:right="153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comprendere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il valore della finalizzazione dell’impegno, del lavoro per obiettivi e della assunzione di res</w:t>
      </w:r>
      <w:r>
        <w:rPr>
          <w:rFonts w:ascii="Arial" w:eastAsia="Arial" w:hAnsi="Arial" w:cs="Arial"/>
          <w:color w:val="000000"/>
          <w:sz w:val="24"/>
          <w:szCs w:val="24"/>
        </w:rPr>
        <w:t>ponsabilità, nella consapevolezza del valore della propria attività e del proprio ruolo nel gruppo ;</w:t>
      </w:r>
    </w:p>
    <w:p w:rsidR="00253258" w:rsidRDefault="006269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6" w:line="357" w:lineRule="auto"/>
        <w:ind w:left="0" w:right="156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analizzare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criticamente il contributo apportato dalla scienza e dalla tecnologia allo sviluppo dei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saperi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 dei valori, al cambiamento delle condizioni di </w:t>
      </w:r>
      <w:r>
        <w:rPr>
          <w:rFonts w:ascii="Arial" w:eastAsia="Arial" w:hAnsi="Arial" w:cs="Arial"/>
          <w:color w:val="000000"/>
          <w:sz w:val="24"/>
          <w:szCs w:val="24"/>
        </w:rPr>
        <w:t>vita e dei modi di fruizione culturale;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6" w:line="357" w:lineRule="auto"/>
        <w:ind w:left="0" w:right="156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left="0" w:right="149" w:hanging="2"/>
        <w:jc w:val="both"/>
        <w:rPr>
          <w:rFonts w:ascii="Arial" w:eastAsia="Arial" w:hAnsi="Arial" w:cs="Arial"/>
          <w:color w:val="000000"/>
          <w:sz w:val="24"/>
          <w:szCs w:val="24"/>
        </w:rPr>
        <w:sectPr w:rsidR="00253258">
          <w:pgSz w:w="11910" w:h="16840"/>
          <w:pgMar w:top="1040" w:right="980" w:bottom="280" w:left="880" w:header="720" w:footer="720" w:gutter="0"/>
          <w:cols w:space="720"/>
        </w:sect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Gli aspetti tecnologici e tecnici sono presenti fin dal primo biennio ove, attraverso l’apprendimento dei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saperi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-chiave, acquisiti soprattutto attraverso l’attività di laboratorio, esplicano una funzione orientativa. Nel secondo biennio, le discipline di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ndirizzo  assumono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connotazioni specifiche in una prospettiva interdisciplinare finalizzata a far</w:t>
      </w: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74" w:line="360" w:lineRule="auto"/>
        <w:ind w:left="0" w:right="151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lastRenderedPageBreak/>
        <w:t>raggiungere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agli studenti, nel quinto anno, una adeguata competenza professionale di settore, idonea anche per la prosecuzione degli studi con particolare rif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erimento all’esercizio delle professioni tecniche. Il secondo biennio e il quinto anno costituiscono, quindi, un percorso unitario per accompagnare e sostenere le scelte dello studente nella costruzione progressiva del suo progetto di vita, di studio e di </w:t>
      </w:r>
      <w:r>
        <w:rPr>
          <w:rFonts w:ascii="Arial" w:eastAsia="Arial" w:hAnsi="Arial" w:cs="Arial"/>
          <w:color w:val="000000"/>
          <w:sz w:val="24"/>
          <w:szCs w:val="24"/>
        </w:rPr>
        <w:t>lavoro.</w:t>
      </w: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0" w:right="158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Ad una simile impostazione sottostà una concezione della formazione capace di rispondere alle esigenze di crescita culturale dell’allievo in una prospettiva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preprofessionalizzante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Per realizzare tale obiettivo è, pertanto, necessario che ciascun docente s</w:t>
      </w:r>
      <w:r>
        <w:rPr>
          <w:rFonts w:ascii="Arial" w:eastAsia="Arial" w:hAnsi="Arial" w:cs="Arial"/>
          <w:color w:val="000000"/>
          <w:sz w:val="24"/>
          <w:szCs w:val="24"/>
        </w:rPr>
        <w:t>posti l’attenzione dalla disciplina di cui è titolare alla sua valenza formativa più generale, in un approccio in cui il percorso formativo punta alle competenze, aggregate per assi culturali.</w:t>
      </w: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51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Nell’ indirizzo tecnico economico, peraltro, è particolarmente </w:t>
      </w:r>
      <w:r>
        <w:rPr>
          <w:rFonts w:ascii="Arial" w:eastAsia="Arial" w:hAnsi="Arial" w:cs="Arial"/>
          <w:color w:val="000000"/>
          <w:sz w:val="24"/>
          <w:szCs w:val="24"/>
        </w:rPr>
        <w:t>rilevante l’incontro fra il concetto di assi culturali e quello di interdisciplinarità. L’ economia aziendale, infatti, riconducibile all’asse scientifico-tecnologico, necessariamente implica un collegamento continuo con elementi linguistici, logico – mate</w:t>
      </w:r>
      <w:r>
        <w:rPr>
          <w:rFonts w:ascii="Arial" w:eastAsia="Arial" w:hAnsi="Arial" w:cs="Arial"/>
          <w:color w:val="000000"/>
          <w:sz w:val="24"/>
          <w:szCs w:val="24"/>
        </w:rPr>
        <w:t>matici e sociologici nonché con lo studio del diritto e dell’economia politica, materie, queste ultime, attinenti principalmente all’asse storico sociale.</w:t>
      </w: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5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Una corretta programmazione per discipline presuppone, dunque, il riferimento costante alla programma</w:t>
      </w:r>
      <w:r>
        <w:rPr>
          <w:rFonts w:ascii="Arial" w:eastAsia="Arial" w:hAnsi="Arial" w:cs="Arial"/>
          <w:color w:val="000000"/>
          <w:sz w:val="24"/>
          <w:szCs w:val="24"/>
        </w:rPr>
        <w:t>zione per dipartimenti ed ai collegamenti interdisciplinari.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5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>
        <w:rPr>
          <w:rFonts w:ascii="Arial" w:eastAsia="Arial" w:hAnsi="Arial" w:cs="Arial"/>
          <w:b/>
          <w:color w:val="000000"/>
          <w:sz w:val="24"/>
          <w:szCs w:val="24"/>
        </w:rPr>
        <w:t>) OBIETTIVI MINIMI SPECIFICI DELL AREA TECNICO-SCIENTIFICA E GIURIDICO-ECONOMICA</w:t>
      </w: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ind w:left="0" w:right="153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docenti di Economia Aziendale, Matematica, Diritto ed Economia ed Informatica hanno sviluppato le programmazioni disciplinari al fine di sviluppare le seguenti unità di apprendimento inter-disciplinari concordate.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ind w:left="0" w:right="153" w:hanging="2"/>
        <w:jc w:val="both"/>
        <w:rPr>
          <w:rFonts w:ascii="Arial" w:eastAsia="Arial" w:hAnsi="Arial" w:cs="Arial"/>
          <w:color w:val="000000"/>
          <w:sz w:val="24"/>
          <w:szCs w:val="24"/>
        </w:rPr>
        <w:sectPr w:rsidR="00253258">
          <w:pgSz w:w="11910" w:h="16840"/>
          <w:pgMar w:top="1040" w:right="980" w:bottom="280" w:left="880" w:header="720" w:footer="720" w:gutter="0"/>
          <w:cols w:space="720"/>
        </w:sectPr>
      </w:pP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pStyle w:val="Titolo1"/>
        <w:spacing w:before="100"/>
        <w:ind w:left="0" w:right="1745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Classe Prima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9792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382"/>
        <w:gridCol w:w="2862"/>
        <w:gridCol w:w="2872"/>
      </w:tblGrid>
      <w:tr w:rsidR="00253258">
        <w:trPr>
          <w:trHeight w:val="868"/>
        </w:trPr>
        <w:tc>
          <w:tcPr>
            <w:tcW w:w="1676" w:type="dxa"/>
          </w:tcPr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Discipline</w:t>
            </w:r>
          </w:p>
        </w:tc>
        <w:tc>
          <w:tcPr>
            <w:tcW w:w="2382" w:type="dxa"/>
          </w:tcPr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right="203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Unità di apprendimento interdisciplinare</w:t>
            </w:r>
          </w:p>
        </w:tc>
        <w:tc>
          <w:tcPr>
            <w:tcW w:w="286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Conoscenze</w:t>
            </w:r>
          </w:p>
        </w:tc>
        <w:tc>
          <w:tcPr>
            <w:tcW w:w="287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022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Abilità</w:t>
            </w:r>
          </w:p>
        </w:tc>
      </w:tr>
      <w:tr w:rsidR="00253258">
        <w:trPr>
          <w:trHeight w:val="2892"/>
        </w:trPr>
        <w:tc>
          <w:tcPr>
            <w:tcW w:w="1676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1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Economia Aziendale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91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Diritto ed Economia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6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Informatica</w:t>
            </w:r>
          </w:p>
        </w:tc>
        <w:tc>
          <w:tcPr>
            <w:tcW w:w="238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 bisogni – I beni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316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Bisogni, beni economici e non economici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Tipologie di dati</w:t>
            </w:r>
          </w:p>
        </w:tc>
        <w:tc>
          <w:tcPr>
            <w:tcW w:w="286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 w:line="240" w:lineRule="auto"/>
              <w:ind w:left="0" w:right="1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 beni e i bisogni: definizioni, caratteristiche e classificazioni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 diverse tipologie di dati e la loro organizzazione</w:t>
            </w:r>
          </w:p>
        </w:tc>
        <w:tc>
          <w:tcPr>
            <w:tcW w:w="287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Distinguere ed i beni dai bisogni</w:t>
            </w: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Raccogliere, organizzare e rappresentare dati/informazioni di tipo testuale e multimediale</w:t>
            </w:r>
          </w:p>
        </w:tc>
      </w:tr>
      <w:tr w:rsidR="00253258">
        <w:trPr>
          <w:trHeight w:val="3184"/>
        </w:trPr>
        <w:tc>
          <w:tcPr>
            <w:tcW w:w="1676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1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Economia Aziendale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91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Diritto ed Economia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 w:line="240" w:lineRule="auto"/>
              <w:ind w:left="0" w:right="96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Informatica</w:t>
            </w:r>
          </w:p>
        </w:tc>
        <w:tc>
          <w:tcPr>
            <w:tcW w:w="238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  <w:tab w:val="left" w:pos="1849"/>
                <w:tab w:val="left" w:pos="2189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produzione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la attività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di impresa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7"/>
              </w:tabs>
              <w:spacing w:before="1" w:line="240" w:lineRule="auto"/>
              <w:ind w:left="0" w:right="1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produzione: definizione e tipologie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Variabili e costanti</w:t>
            </w:r>
          </w:p>
        </w:tc>
        <w:tc>
          <w:tcPr>
            <w:tcW w:w="286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 forme e i settori della produzione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55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Definizione di produzione e fattori produttivi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 w:line="240" w:lineRule="auto"/>
              <w:ind w:left="0" w:right="258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Gestione informatica dei dati</w:t>
            </w:r>
          </w:p>
        </w:tc>
        <w:tc>
          <w:tcPr>
            <w:tcW w:w="287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Distinguere ed analizzare le forme di produzione.</w:t>
            </w: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0" w:right="1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Applicare le regole del mercato a semplici situazioni reali.</w:t>
            </w: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Sapere analizzare i costi e i dati</w:t>
            </w:r>
          </w:p>
        </w:tc>
      </w:tr>
      <w:tr w:rsidR="00253258">
        <w:trPr>
          <w:trHeight w:val="3125"/>
        </w:trPr>
        <w:tc>
          <w:tcPr>
            <w:tcW w:w="1676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25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Economia Aziendale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40" w:lineRule="auto"/>
              <w:ind w:left="0" w:right="225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Diritto ed Economia</w:t>
            </w:r>
          </w:p>
        </w:tc>
        <w:tc>
          <w:tcPr>
            <w:tcW w:w="238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 soggetti dell’attività economica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40" w:lineRule="auto"/>
              <w:ind w:left="0" w:right="5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 soggetti economici e le relazioni fra gli stessi</w:t>
            </w:r>
          </w:p>
        </w:tc>
        <w:tc>
          <w:tcPr>
            <w:tcW w:w="286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right="-6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 principali caratteristiche e attività di ciascun soggetto economico</w:t>
            </w:r>
          </w:p>
        </w:tc>
        <w:tc>
          <w:tcPr>
            <w:tcW w:w="287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right="2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Individuare i rapporti di interdipendenza e le relazioni tra i soggetti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economici .</w:t>
            </w:r>
            <w:proofErr w:type="gramEnd"/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Analizzare la relazione e la concatenazione fra le scelte dei diversi operatori economici</w:t>
            </w:r>
          </w:p>
        </w:tc>
      </w:tr>
      <w:tr w:rsidR="00253258">
        <w:trPr>
          <w:trHeight w:val="1737"/>
        </w:trPr>
        <w:tc>
          <w:tcPr>
            <w:tcW w:w="1676" w:type="dxa"/>
          </w:tcPr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1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Economia Aziendale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 w:line="240" w:lineRule="auto"/>
              <w:ind w:left="0" w:right="94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238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Calcoli percentuali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3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Calcoli percentuali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3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5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Il calcolo percentuale e la sua rilevanza nella contabilità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Applicazione della</w:t>
            </w:r>
          </w:p>
        </w:tc>
        <w:tc>
          <w:tcPr>
            <w:tcW w:w="287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7"/>
                <w:tab w:val="left" w:pos="2215"/>
              </w:tabs>
              <w:spacing w:before="237" w:line="240" w:lineRule="auto"/>
              <w:ind w:left="0" w:right="1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Applicare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calcoli percentuali a semplici casi</w:t>
            </w:r>
          </w:p>
        </w:tc>
      </w:tr>
    </w:tbl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  <w:sectPr w:rsidR="00253258">
          <w:pgSz w:w="11910" w:h="16840"/>
          <w:pgMar w:top="1580" w:right="980" w:bottom="280" w:left="880" w:header="720" w:footer="720" w:gutter="0"/>
          <w:cols w:space="720"/>
        </w:sectPr>
      </w:pP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9792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382"/>
        <w:gridCol w:w="2862"/>
        <w:gridCol w:w="2872"/>
      </w:tblGrid>
      <w:tr w:rsidR="00253258">
        <w:trPr>
          <w:trHeight w:val="290"/>
        </w:trPr>
        <w:tc>
          <w:tcPr>
            <w:tcW w:w="1676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2" w:type="dxa"/>
          </w:tcPr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percentuale</w:t>
            </w:r>
            <w:proofErr w:type="gramEnd"/>
          </w:p>
        </w:tc>
        <w:tc>
          <w:tcPr>
            <w:tcW w:w="287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53258">
        <w:trPr>
          <w:trHeight w:val="3273"/>
        </w:trPr>
        <w:tc>
          <w:tcPr>
            <w:tcW w:w="1676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5" w:line="240" w:lineRule="auto"/>
              <w:ind w:left="0" w:right="91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Economia Aziendale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1" w:line="240" w:lineRule="auto"/>
              <w:ind w:left="0" w:right="96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Informatica</w:t>
            </w:r>
          </w:p>
        </w:tc>
        <w:tc>
          <w:tcPr>
            <w:tcW w:w="238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5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La fattura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3" w:line="240" w:lineRule="auto"/>
              <w:ind w:left="0" w:right="5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Programma di videoscrittura</w:t>
            </w:r>
          </w:p>
        </w:tc>
        <w:tc>
          <w:tcPr>
            <w:tcW w:w="286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7"/>
                <w:tab w:val="left" w:pos="2278"/>
              </w:tabs>
              <w:spacing w:before="235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fattura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come documento contabile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1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Impostazione grafica della fattura</w:t>
            </w:r>
          </w:p>
        </w:tc>
        <w:tc>
          <w:tcPr>
            <w:tcW w:w="287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5" w:line="240" w:lineRule="auto"/>
              <w:ind w:left="0" w:right="1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Redigere le fatture applicando le principali regole della normativa vigente.</w:t>
            </w: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Stesura della fattura utilizzando programmi di videoscrittura</w:t>
            </w:r>
          </w:p>
        </w:tc>
      </w:tr>
    </w:tbl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ind w:left="0" w:right="2225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Classe Seconda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9792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382"/>
        <w:gridCol w:w="2862"/>
        <w:gridCol w:w="2872"/>
      </w:tblGrid>
      <w:tr w:rsidR="00253258">
        <w:trPr>
          <w:trHeight w:val="868"/>
        </w:trPr>
        <w:tc>
          <w:tcPr>
            <w:tcW w:w="1676" w:type="dxa"/>
          </w:tcPr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Discipline</w:t>
            </w:r>
          </w:p>
        </w:tc>
        <w:tc>
          <w:tcPr>
            <w:tcW w:w="2382" w:type="dxa"/>
          </w:tcPr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right="203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Unità di apprendimento interdisciplinare</w:t>
            </w:r>
          </w:p>
        </w:tc>
        <w:tc>
          <w:tcPr>
            <w:tcW w:w="286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Conoscenze</w:t>
            </w:r>
          </w:p>
        </w:tc>
        <w:tc>
          <w:tcPr>
            <w:tcW w:w="287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022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Abilità</w:t>
            </w:r>
          </w:p>
        </w:tc>
      </w:tr>
      <w:tr w:rsidR="00253258">
        <w:trPr>
          <w:trHeight w:val="2779"/>
        </w:trPr>
        <w:tc>
          <w:tcPr>
            <w:tcW w:w="1676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1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Economia Aziendale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2" w:line="240" w:lineRule="auto"/>
              <w:ind w:left="0" w:right="241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Diritto ed Economia politica</w:t>
            </w:r>
          </w:p>
        </w:tc>
        <w:tc>
          <w:tcPr>
            <w:tcW w:w="238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59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Fabbisogno finanziario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2" w:line="240" w:lineRule="auto"/>
              <w:ind w:left="0" w:right="4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Moneta e sistema bancario</w:t>
            </w:r>
          </w:p>
        </w:tc>
        <w:tc>
          <w:tcPr>
            <w:tcW w:w="286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Il concetto di fabbisogno finanziario e il ricorso al finanziamento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302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Moneta a corso legale e moneta bancaria</w:t>
            </w:r>
          </w:p>
        </w:tc>
        <w:tc>
          <w:tcPr>
            <w:tcW w:w="287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9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Distinguere ed analizzare le varie fonti di finanziamento Individuare le funzioni bancarie e distinguere la funzione monetaria da quella creditizia</w:t>
            </w:r>
          </w:p>
        </w:tc>
      </w:tr>
      <w:tr w:rsidR="00253258">
        <w:trPr>
          <w:trHeight w:val="2548"/>
        </w:trPr>
        <w:tc>
          <w:tcPr>
            <w:tcW w:w="1676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1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Economia Aziendale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2" w:line="240" w:lineRule="auto"/>
              <w:ind w:left="0" w:right="94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2" w:line="240" w:lineRule="auto"/>
              <w:ind w:left="0" w:right="94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Matematica</w:t>
            </w:r>
          </w:p>
        </w:tc>
        <w:tc>
          <w:tcPr>
            <w:tcW w:w="238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89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Calcoli finanziari e loro rilevanza nella attività di impresa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Equazioni applicate a casi di attività di impresa</w:t>
            </w:r>
          </w:p>
        </w:tc>
        <w:tc>
          <w:tcPr>
            <w:tcW w:w="286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La peculiarità del calcolo finanziario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90"/>
              </w:tabs>
              <w:spacing w:before="242" w:line="240" w:lineRule="auto"/>
              <w:ind w:left="0" w:right="1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90"/>
              </w:tabs>
              <w:spacing w:before="242" w:line="240" w:lineRule="auto"/>
              <w:ind w:left="0" w:right="1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Equazioni di primo e secondo grado</w:t>
            </w:r>
          </w:p>
        </w:tc>
        <w:tc>
          <w:tcPr>
            <w:tcW w:w="287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right="1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Analizzare e risolvere problemi di natura finanziaria attraverso la applicazione di calcoli</w:t>
            </w:r>
          </w:p>
        </w:tc>
      </w:tr>
      <w:tr w:rsidR="00253258">
        <w:trPr>
          <w:trHeight w:val="3124"/>
        </w:trPr>
        <w:tc>
          <w:tcPr>
            <w:tcW w:w="1676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1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Economia Aziendale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2" w:line="240" w:lineRule="auto"/>
              <w:ind w:left="0" w:right="241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Diritto ed Economia politica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96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Informatica</w:t>
            </w:r>
          </w:p>
        </w:tc>
        <w:tc>
          <w:tcPr>
            <w:tcW w:w="238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Titoli di credito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40" w:lineRule="auto"/>
              <w:ind w:left="0" w:right="5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Moneta bancaria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3" w:line="240" w:lineRule="auto"/>
              <w:ind w:left="0" w:right="5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Strumenti di</w:t>
            </w:r>
          </w:p>
        </w:tc>
        <w:tc>
          <w:tcPr>
            <w:tcW w:w="286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La compilazione della cambiali e degli assegni bancari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Funzioni e categorie dei titoli di credito</w:t>
            </w:r>
          </w:p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2"/>
              </w:tabs>
              <w:spacing w:before="242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Realizzazione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di</w:t>
            </w:r>
          </w:p>
        </w:tc>
        <w:tc>
          <w:tcPr>
            <w:tcW w:w="287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right="3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Distinguere i vari titoli di credito, compilare cambiali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ed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assegni bancari.</w:t>
            </w:r>
          </w:p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Realizzare presentazioni multimediali</w:t>
            </w:r>
          </w:p>
        </w:tc>
      </w:tr>
    </w:tbl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  <w:sectPr w:rsidR="00253258">
          <w:pgSz w:w="11910" w:h="16840"/>
          <w:pgMar w:top="1120" w:right="980" w:bottom="280" w:left="880" w:header="720" w:footer="720" w:gutter="0"/>
          <w:cols w:space="720"/>
        </w:sectPr>
      </w:pP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2"/>
        <w:tblW w:w="9792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382"/>
        <w:gridCol w:w="2862"/>
        <w:gridCol w:w="2872"/>
      </w:tblGrid>
      <w:tr w:rsidR="00253258">
        <w:trPr>
          <w:trHeight w:val="712"/>
        </w:trPr>
        <w:tc>
          <w:tcPr>
            <w:tcW w:w="1676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</w:tcPr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presentazione</w:t>
            </w:r>
            <w:proofErr w:type="gramEnd"/>
          </w:p>
        </w:tc>
        <w:tc>
          <w:tcPr>
            <w:tcW w:w="2862" w:type="dxa"/>
          </w:tcPr>
          <w:p w:rsidR="00253258" w:rsidRDefault="0062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presentazioni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multimediali</w:t>
            </w:r>
          </w:p>
        </w:tc>
        <w:tc>
          <w:tcPr>
            <w:tcW w:w="2872" w:type="dxa"/>
          </w:tcPr>
          <w:p w:rsidR="00253258" w:rsidRDefault="0025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3) METODOLOGIA</w:t>
      </w: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101" w:line="360" w:lineRule="auto"/>
        <w:ind w:left="0" w:right="156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 metodologie di insegnamento sono finalizzate a valorizzare il metodo scientifico e il pensiero operativo; analizzare e risolvere problemi; educare al lavoro cooperativo e per progetti; orientare alla analisi ed al raffronto con i meccanismi e le procedu</w:t>
      </w:r>
      <w:r>
        <w:rPr>
          <w:rFonts w:ascii="Arial" w:eastAsia="Arial" w:hAnsi="Arial" w:cs="Arial"/>
          <w:color w:val="000000"/>
          <w:sz w:val="24"/>
          <w:szCs w:val="24"/>
        </w:rPr>
        <w:t>re adottate in paesi stranieri. Le metodologie educano, inoltre, all’uso di modelli di simulazione e di linguaggi specifici e richiedono un sistematico ricorso alla didattica di laboratorio, in conformità agli obiettivi, ai contenuti dell’apprendimento e a</w:t>
      </w:r>
      <w:r>
        <w:rPr>
          <w:rFonts w:ascii="Arial" w:eastAsia="Arial" w:hAnsi="Arial" w:cs="Arial"/>
          <w:color w:val="000000"/>
          <w:sz w:val="24"/>
          <w:szCs w:val="24"/>
        </w:rPr>
        <w:t>lle esigenze degli studenti, per consentire loro di cogliere concretamente l’interdipendenza tra le diverse discipline apprese nel corso del quinquennio.</w:t>
      </w:r>
    </w:p>
    <w:p w:rsidR="00253258" w:rsidRDefault="0062696C">
      <w:pPr>
        <w:pStyle w:val="Titolo1"/>
        <w:spacing w:before="1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VERTICALIZZAZIONE </w:t>
      </w:r>
      <w:r>
        <w:rPr>
          <w:rFonts w:ascii="Arial" w:eastAsia="Arial" w:hAnsi="Arial" w:cs="Arial"/>
        </w:rPr>
        <w:t xml:space="preserve">DELLE </w:t>
      </w:r>
      <w:r>
        <w:rPr>
          <w:rFonts w:ascii="Arial" w:eastAsia="Arial" w:hAnsi="Arial" w:cs="Arial"/>
        </w:rPr>
        <w:t>ESPERIENZ</w:t>
      </w:r>
      <w:r>
        <w:rPr>
          <w:rFonts w:ascii="Arial" w:eastAsia="Arial" w:hAnsi="Arial" w:cs="Arial"/>
        </w:rPr>
        <w:t>E</w:t>
      </w: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145" w:line="360" w:lineRule="auto"/>
        <w:ind w:left="0" w:right="156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 eccellenze della classe seconda terranno una o più lezioni front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ali in PowerPoint ai ragazzi della classe prima su argomenti pluridisciplinari trattati nell’anno precedente. 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4) STRATEGIE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5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Pur privilegiando la strategia classica della lezione frontale, la prospettiva interdisciplinare richiede, compatibilmente con i tempi di attuazione delle singole programmazioni disciplinari, la organizzazione di lezioni in compresenza, nonché il frequente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ricorso ai sistemi operativi accessibili nel laboratorio di informatica. Potranno altresì essere utilizzate le LIM anche per la proiezione di film e documentari-reportage in lingua attinenti a tematiche storiche, istituzionali ed economiche.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5) STRUMENTI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  <w:sectPr w:rsidR="00253258">
          <w:pgSz w:w="11910" w:h="16840"/>
          <w:pgMar w:top="1120" w:right="980" w:bottom="280" w:left="880" w:header="720" w:footer="720" w:gutter="0"/>
          <w:cols w:space="720"/>
        </w:sectPr>
      </w:pPr>
      <w:r>
        <w:rPr>
          <w:rFonts w:ascii="Arial" w:eastAsia="Arial" w:hAnsi="Arial" w:cs="Arial"/>
          <w:color w:val="000000"/>
          <w:sz w:val="24"/>
          <w:szCs w:val="24"/>
        </w:rPr>
        <w:t>Il principale strumento didattico è rappresentato dai libri di testo, ma è previsto il potenziamento dell’utilizzo di tutti i sistemi informatici e multimediali con l’ausilio della LIM. Onde potenziare la competenza linguistica generale e settoriale, verra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nno, inoltre,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proiettati  film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in  lingua originale   (inglese e spagnolo) 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tabs>
          <w:tab w:val="left" w:pos="9807"/>
        </w:tabs>
        <w:spacing w:before="72" w:after="3" w:line="360" w:lineRule="auto"/>
        <w:ind w:left="0" w:right="153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6) CRITERI DI VALUTAZIONE</w:t>
      </w: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ind w:left="0" w:right="153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 le metodologie e le modalità di verifica e di valutazione si fa riferimento alle programmazioni disciplinari specifiche ed alle relative griglie di valutazione alle stesse allegate, nonché ai criteri stabiliti dal Collegio dei Docenti.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ind w:left="0" w:right="153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ATTIVITA’ DIDAT</w:t>
      </w:r>
      <w:r>
        <w:rPr>
          <w:rFonts w:ascii="Arial" w:eastAsia="Arial" w:hAnsi="Arial" w:cs="Arial"/>
          <w:b/>
          <w:color w:val="000000"/>
          <w:sz w:val="24"/>
          <w:szCs w:val="24"/>
        </w:rPr>
        <w:t>TICHE INTEGRATIVE</w:t>
      </w: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102" w:line="360" w:lineRule="auto"/>
        <w:ind w:left="0" w:right="15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 attività di recupero verranno organizzate in orario curricolare ed extracurricolare. Laddove possibile, i docenti delle diverse discipline collaboreranno per rendere più efficace l’apprendimento di argomenti le cui conoscenze risultino lacunose, privile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giando alcuni insegnanti il recupero delle nozioni teoriche ed altri la applicazione pratica delle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stesse 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Per le discipline applicative verranno strutturati, in orario extracurriculare, corsi di potenziamento per gruppi.</w:t>
      </w: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102" w:line="360" w:lineRule="auto"/>
        <w:ind w:left="0" w:right="15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Agli allievi del biennio verranno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proposte attività laboratoriali finalizzate a potenziare le abilità informatiche - acquisite attraverso lo studio della disciplina – mediante l’applicazione delle stesse nella contabilità e nella ricerca delle fonti giuridiche. </w:t>
      </w: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102" w:line="360" w:lineRule="auto"/>
        <w:ind w:left="0" w:right="152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Nell’ambito della funzione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strumentale dell’orientamento in uscita agli allievi delle terze classi della scuola secondaria di I grado verranno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proposte ,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con la collaborazione degli alunni della classe prima dell’indirizzo, alcune lezioni di economia. </w:t>
      </w:r>
    </w:p>
    <w:p w:rsidR="00253258" w:rsidRDefault="006269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101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PROPOSTE PER LA UTILIZZAZIONE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DELLE 70 ORE</w:t>
      </w: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230" w:line="362" w:lineRule="auto"/>
        <w:ind w:left="0" w:right="151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Oltre che alle attività di recupero e potenziamento di cui al punto precedente, le 70 ore verranno impiegate per la organizzazione della attività di verticalizzazione.</w:t>
      </w:r>
    </w:p>
    <w:p w:rsidR="00253258" w:rsidRDefault="00253258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253258" w:rsidRDefault="0062696C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165100</wp:posOffset>
                </wp:positionV>
                <wp:extent cx="0" cy="12700"/>
                <wp:effectExtent l="0" t="0" r="0" b="0"/>
                <wp:wrapTopAndBottom distT="0" distB="0"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3638" y="3780000"/>
                          <a:ext cx="22447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3873500</wp:posOffset>
                </wp:positionH>
                <wp:positionV relativeFrom="paragraph">
                  <wp:posOffset>165100</wp:posOffset>
                </wp:positionV>
                <wp:extent cx="0" cy="12700"/>
                <wp:effectExtent l="0" t="0" r="0" b="0"/>
                <wp:wrapTopAndBottom distT="0" distB="0"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82045" y="3780000"/>
                          <a:ext cx="23279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253258">
      <w:pgSz w:w="11910" w:h="16840"/>
      <w:pgMar w:top="1140" w:right="9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255F9"/>
    <w:multiLevelType w:val="multilevel"/>
    <w:tmpl w:val="F79EE968"/>
    <w:lvl w:ilvl="0">
      <w:numFmt w:val="bullet"/>
      <w:lvlText w:val="-"/>
      <w:lvlJc w:val="left"/>
      <w:pPr>
        <w:ind w:left="252" w:hanging="183"/>
      </w:pPr>
      <w:rPr>
        <w:rFonts w:ascii="Tahoma" w:eastAsia="Tahoma" w:hAnsi="Tahoma" w:cs="Tahoma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238" w:hanging="183"/>
      </w:pPr>
      <w:rPr>
        <w:vertAlign w:val="baseline"/>
      </w:rPr>
    </w:lvl>
    <w:lvl w:ilvl="2">
      <w:numFmt w:val="bullet"/>
      <w:lvlText w:val="•"/>
      <w:lvlJc w:val="left"/>
      <w:pPr>
        <w:ind w:left="2217" w:hanging="183"/>
      </w:pPr>
      <w:rPr>
        <w:vertAlign w:val="baseline"/>
      </w:rPr>
    </w:lvl>
    <w:lvl w:ilvl="3">
      <w:numFmt w:val="bullet"/>
      <w:lvlText w:val="•"/>
      <w:lvlJc w:val="left"/>
      <w:pPr>
        <w:ind w:left="3195" w:hanging="183"/>
      </w:pPr>
      <w:rPr>
        <w:vertAlign w:val="baseline"/>
      </w:rPr>
    </w:lvl>
    <w:lvl w:ilvl="4">
      <w:numFmt w:val="bullet"/>
      <w:lvlText w:val="•"/>
      <w:lvlJc w:val="left"/>
      <w:pPr>
        <w:ind w:left="4174" w:hanging="183"/>
      </w:pPr>
      <w:rPr>
        <w:vertAlign w:val="baseline"/>
      </w:rPr>
    </w:lvl>
    <w:lvl w:ilvl="5">
      <w:numFmt w:val="bullet"/>
      <w:lvlText w:val="•"/>
      <w:lvlJc w:val="left"/>
      <w:pPr>
        <w:ind w:left="5153" w:hanging="183"/>
      </w:pPr>
      <w:rPr>
        <w:vertAlign w:val="baseline"/>
      </w:rPr>
    </w:lvl>
    <w:lvl w:ilvl="6">
      <w:numFmt w:val="bullet"/>
      <w:lvlText w:val="•"/>
      <w:lvlJc w:val="left"/>
      <w:pPr>
        <w:ind w:left="6131" w:hanging="182"/>
      </w:pPr>
      <w:rPr>
        <w:vertAlign w:val="baseline"/>
      </w:rPr>
    </w:lvl>
    <w:lvl w:ilvl="7">
      <w:numFmt w:val="bullet"/>
      <w:lvlText w:val="•"/>
      <w:lvlJc w:val="left"/>
      <w:pPr>
        <w:ind w:left="7110" w:hanging="183"/>
      </w:pPr>
      <w:rPr>
        <w:vertAlign w:val="baseline"/>
      </w:rPr>
    </w:lvl>
    <w:lvl w:ilvl="8">
      <w:numFmt w:val="bullet"/>
      <w:lvlText w:val="•"/>
      <w:lvlJc w:val="left"/>
      <w:pPr>
        <w:ind w:left="8089" w:hanging="183"/>
      </w:pPr>
      <w:rPr>
        <w:vertAlign w:val="baseline"/>
      </w:rPr>
    </w:lvl>
  </w:abstractNum>
  <w:abstractNum w:abstractNumId="1">
    <w:nsid w:val="4C262154"/>
    <w:multiLevelType w:val="multilevel"/>
    <w:tmpl w:val="AB5A292C"/>
    <w:lvl w:ilvl="0">
      <w:numFmt w:val="bullet"/>
      <w:lvlText w:val="-"/>
      <w:lvlJc w:val="left"/>
      <w:pPr>
        <w:ind w:left="252" w:hanging="709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238" w:hanging="709"/>
      </w:pPr>
      <w:rPr>
        <w:vertAlign w:val="baseline"/>
      </w:rPr>
    </w:lvl>
    <w:lvl w:ilvl="2">
      <w:numFmt w:val="bullet"/>
      <w:lvlText w:val="•"/>
      <w:lvlJc w:val="left"/>
      <w:pPr>
        <w:ind w:left="2217" w:hanging="709"/>
      </w:pPr>
      <w:rPr>
        <w:vertAlign w:val="baseline"/>
      </w:rPr>
    </w:lvl>
    <w:lvl w:ilvl="3">
      <w:numFmt w:val="bullet"/>
      <w:lvlText w:val="•"/>
      <w:lvlJc w:val="left"/>
      <w:pPr>
        <w:ind w:left="3195" w:hanging="709"/>
      </w:pPr>
      <w:rPr>
        <w:vertAlign w:val="baseline"/>
      </w:rPr>
    </w:lvl>
    <w:lvl w:ilvl="4">
      <w:numFmt w:val="bullet"/>
      <w:lvlText w:val="•"/>
      <w:lvlJc w:val="left"/>
      <w:pPr>
        <w:ind w:left="4174" w:hanging="709"/>
      </w:pPr>
      <w:rPr>
        <w:vertAlign w:val="baseline"/>
      </w:rPr>
    </w:lvl>
    <w:lvl w:ilvl="5">
      <w:numFmt w:val="bullet"/>
      <w:lvlText w:val="•"/>
      <w:lvlJc w:val="left"/>
      <w:pPr>
        <w:ind w:left="5153" w:hanging="709"/>
      </w:pPr>
      <w:rPr>
        <w:vertAlign w:val="baseline"/>
      </w:rPr>
    </w:lvl>
    <w:lvl w:ilvl="6">
      <w:numFmt w:val="bullet"/>
      <w:lvlText w:val="•"/>
      <w:lvlJc w:val="left"/>
      <w:pPr>
        <w:ind w:left="6131" w:hanging="709"/>
      </w:pPr>
      <w:rPr>
        <w:vertAlign w:val="baseline"/>
      </w:rPr>
    </w:lvl>
    <w:lvl w:ilvl="7">
      <w:numFmt w:val="bullet"/>
      <w:lvlText w:val="•"/>
      <w:lvlJc w:val="left"/>
      <w:pPr>
        <w:ind w:left="7110" w:hanging="709"/>
      </w:pPr>
      <w:rPr>
        <w:vertAlign w:val="baseline"/>
      </w:rPr>
    </w:lvl>
    <w:lvl w:ilvl="8">
      <w:numFmt w:val="bullet"/>
      <w:lvlText w:val="•"/>
      <w:lvlJc w:val="left"/>
      <w:pPr>
        <w:ind w:left="8089" w:hanging="709"/>
      </w:pPr>
      <w:rPr>
        <w:vertAlign w:val="baseline"/>
      </w:rPr>
    </w:lvl>
  </w:abstractNum>
  <w:abstractNum w:abstractNumId="2">
    <w:nsid w:val="5BCF6D1B"/>
    <w:multiLevelType w:val="multilevel"/>
    <w:tmpl w:val="C8B8E0EE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70D4547A"/>
    <w:multiLevelType w:val="multilevel"/>
    <w:tmpl w:val="2EC81288"/>
    <w:lvl w:ilvl="0">
      <w:numFmt w:val="bullet"/>
      <w:lvlText w:val="-"/>
      <w:lvlJc w:val="left"/>
      <w:pPr>
        <w:ind w:left="252" w:hanging="195"/>
      </w:pPr>
      <w:rPr>
        <w:rFonts w:ascii="Tahoma" w:eastAsia="Tahoma" w:hAnsi="Tahoma" w:cs="Tahoma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238" w:hanging="195"/>
      </w:pPr>
      <w:rPr>
        <w:vertAlign w:val="baseline"/>
      </w:rPr>
    </w:lvl>
    <w:lvl w:ilvl="2">
      <w:numFmt w:val="bullet"/>
      <w:lvlText w:val="•"/>
      <w:lvlJc w:val="left"/>
      <w:pPr>
        <w:ind w:left="2217" w:hanging="195"/>
      </w:pPr>
      <w:rPr>
        <w:vertAlign w:val="baseline"/>
      </w:rPr>
    </w:lvl>
    <w:lvl w:ilvl="3">
      <w:numFmt w:val="bullet"/>
      <w:lvlText w:val="•"/>
      <w:lvlJc w:val="left"/>
      <w:pPr>
        <w:ind w:left="3195" w:hanging="195"/>
      </w:pPr>
      <w:rPr>
        <w:vertAlign w:val="baseline"/>
      </w:rPr>
    </w:lvl>
    <w:lvl w:ilvl="4">
      <w:numFmt w:val="bullet"/>
      <w:lvlText w:val="•"/>
      <w:lvlJc w:val="left"/>
      <w:pPr>
        <w:ind w:left="4174" w:hanging="195"/>
      </w:pPr>
      <w:rPr>
        <w:vertAlign w:val="baseline"/>
      </w:rPr>
    </w:lvl>
    <w:lvl w:ilvl="5">
      <w:numFmt w:val="bullet"/>
      <w:lvlText w:val="•"/>
      <w:lvlJc w:val="left"/>
      <w:pPr>
        <w:ind w:left="5153" w:hanging="195"/>
      </w:pPr>
      <w:rPr>
        <w:vertAlign w:val="baseline"/>
      </w:rPr>
    </w:lvl>
    <w:lvl w:ilvl="6">
      <w:numFmt w:val="bullet"/>
      <w:lvlText w:val="•"/>
      <w:lvlJc w:val="left"/>
      <w:pPr>
        <w:ind w:left="6131" w:hanging="195"/>
      </w:pPr>
      <w:rPr>
        <w:vertAlign w:val="baseline"/>
      </w:rPr>
    </w:lvl>
    <w:lvl w:ilvl="7">
      <w:numFmt w:val="bullet"/>
      <w:lvlText w:val="•"/>
      <w:lvlJc w:val="left"/>
      <w:pPr>
        <w:ind w:left="7110" w:hanging="195"/>
      </w:pPr>
      <w:rPr>
        <w:vertAlign w:val="baseline"/>
      </w:rPr>
    </w:lvl>
    <w:lvl w:ilvl="8">
      <w:numFmt w:val="bullet"/>
      <w:lvlText w:val="•"/>
      <w:lvlJc w:val="left"/>
      <w:pPr>
        <w:ind w:left="8089" w:hanging="195"/>
      </w:pPr>
      <w:rPr>
        <w:vertAlign w:val="baseline"/>
      </w:rPr>
    </w:lvl>
  </w:abstractNum>
  <w:abstractNum w:abstractNumId="4">
    <w:nsid w:val="710926AC"/>
    <w:multiLevelType w:val="multilevel"/>
    <w:tmpl w:val="A8E83AC2"/>
    <w:lvl w:ilvl="0">
      <w:start w:val="7"/>
      <w:numFmt w:val="decimal"/>
      <w:lvlText w:val="%1)"/>
      <w:lvlJc w:val="left"/>
      <w:pPr>
        <w:ind w:left="501" w:hanging="360"/>
      </w:pPr>
      <w:rPr>
        <w:sz w:val="19"/>
        <w:szCs w:val="19"/>
        <w:vertAlign w:val="baseline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58"/>
    <w:rsid w:val="00253258"/>
    <w:rsid w:val="0062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F5B07-CB72-43C6-9DEB-C6E61164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Tahoma" w:hAnsi="Tahoma" w:cs="Tahoma"/>
      <w:position w:val="-1"/>
      <w:sz w:val="22"/>
      <w:szCs w:val="22"/>
      <w:lang w:bidi="it-IT"/>
    </w:rPr>
  </w:style>
  <w:style w:type="paragraph" w:styleId="Titolo1">
    <w:name w:val="heading 1"/>
    <w:basedOn w:val="Normale"/>
    <w:pPr>
      <w:ind w:left="1838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4"/>
      <w:szCs w:val="24"/>
    </w:rPr>
  </w:style>
  <w:style w:type="paragraph" w:customStyle="1" w:styleId="Elencoacolori-Colore11">
    <w:name w:val="Elenco a colori - Colore 11"/>
    <w:basedOn w:val="Normale"/>
    <w:pPr>
      <w:ind w:left="252" w:right="157"/>
      <w:jc w:val="both"/>
    </w:pPr>
  </w:style>
  <w:style w:type="paragraph" w:customStyle="1" w:styleId="TableParagraph">
    <w:name w:val="Table Paragraph"/>
    <w:basedOn w:val="Normale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aH8J0u+Dsgx9tfl0ynp/FZOMdQ==">CgMxLjAyCGguZ2pkZ3hzOAByITFCamVMRy1ySGIybGJ1MldnN0xkMnE0NUdjUXpaN2hleQ==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1970</Words>
  <Characters>11230</Characters>
  <Application>Microsoft Office Word</Application>
  <DocSecurity>0</DocSecurity>
  <Lines>93</Lines>
  <Paragraphs>26</Paragraphs>
  <ScaleCrop>false</ScaleCrop>
  <Company/>
  <LinksUpToDate>false</LinksUpToDate>
  <CharactersWithSpaces>13174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Domenico Sassone</dc:creator>
  <cp:lastModifiedBy>Utente</cp:lastModifiedBy>
  <cp:revision>3</cp:revision>
  <dcterms:created xsi:type="dcterms:W3CDTF">2023-10-06T08:12:00Z</dcterms:created>
  <dcterms:modified xsi:type="dcterms:W3CDTF">2023-10-26T08:10:00Z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2018-09-05T00:00:00Z</vt:filetime>
  </property>
</Properties>
</file>